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7" w:rsidRDefault="004D1607" w:rsidP="004D1607">
      <w:pPr>
        <w:pStyle w:val="Heading1"/>
      </w:pPr>
      <w:r>
        <w:t>Burner and Lamp Design</w:t>
      </w:r>
    </w:p>
    <w:p w:rsidR="004D1607" w:rsidRDefault="004D1607" w:rsidP="004D1607">
      <w:pPr>
        <w:pStyle w:val="PlainText"/>
      </w:pPr>
      <w:r>
        <w:t xml:space="preserve">Whatever </w:t>
      </w:r>
      <w:proofErr w:type="gramStart"/>
      <w:r>
        <w:t>be</w:t>
      </w:r>
      <w:proofErr w:type="gramEnd"/>
      <w:r>
        <w:t xml:space="preserve"> your pressure or flow, the primary air to gas stoichiometric ratio is 8-10.5air:1gas. The burner opening area to the mixing tube diameter should be in the ratio of 1:1.5 - 1:2.5, depending upon the pressure drop expected, with a mixing tube length of about 10-15cm at 100-150mm water pressure.  At the top, the gas-air mixtures need to be brought to the burning surface - the openings are usually 4-6mm wide for stable high temperature colourless flame.  At the right air to fuel mix and achieving highest combustion temperatures (1050 Celsius) - the flame will be barely stable and will emerge about 5mm above the burner surface and will usually emit a short hissing sound.  At a higher air to fuel ratio the flame head becomes unstable.  Gas consumption at this stage would be about 400L/h giving an equivalence of about 2kW of thermal efficiency around 55% (heat transfer efficiency) for a flat vessel or receiving body</w:t>
      </w:r>
    </w:p>
    <w:p w:rsidR="004D1607" w:rsidRDefault="004D1607" w:rsidP="004D1607">
      <w:pPr>
        <w:pStyle w:val="PlainText"/>
      </w:pPr>
    </w:p>
    <w:p w:rsidR="004D1607" w:rsidRDefault="004D1607" w:rsidP="004D1607">
      <w:pPr>
        <w:pStyle w:val="PlainText"/>
      </w:pPr>
      <w:r>
        <w:t xml:space="preserve">For mantle lamps a small deviation is suggested when working under normal gas pressure 100-150mm water pressure).  First, reduce the mantle's combustion surface to one third of what is usually available for a kerosene usage.  That is </w:t>
      </w:r>
      <w:proofErr w:type="gramStart"/>
      <w:r>
        <w:t>tie</w:t>
      </w:r>
      <w:proofErr w:type="gramEnd"/>
      <w:r>
        <w:t xml:space="preserve"> the mantle such that only a third of the area hangs down the rest is on the ceramic support above.  You should now be able to support a flow of about 125L/h and yet have the mantle glowing uniformly round.  If you do not reduce the combustion area (tie the mantle to allow only a third of it to glow) the glowing area will not be uniform and will keep moving around.  A burner will consume a third of the gas used in conventional biogas burners - 4cft/hr (the original rating) about 125L/hr.</w:t>
      </w:r>
    </w:p>
    <w:p w:rsidR="004D1607" w:rsidRDefault="004D1607" w:rsidP="004D1607">
      <w:pPr>
        <w:pStyle w:val="PlainText"/>
      </w:pPr>
    </w:p>
    <w:p w:rsidR="004D1607" w:rsidRDefault="004D1607" w:rsidP="004D1607">
      <w:pPr>
        <w:pStyle w:val="PlainText"/>
      </w:pPr>
      <w:r w:rsidRPr="004D1607">
        <w:t>Hoysall Chanakya [</w:t>
      </w:r>
      <w:hyperlink r:id="rId4" w:history="1">
        <w:r w:rsidRPr="004D1607">
          <w:rPr>
            <w:rStyle w:val="Hyperlink"/>
          </w:rPr>
          <w:t>chanakya@astra.iisc.ernet.in</w:t>
        </w:r>
      </w:hyperlink>
      <w:r w:rsidRPr="004D1607">
        <w:t>]</w:t>
      </w:r>
    </w:p>
    <w:p w:rsidR="00692BE1" w:rsidRDefault="004D1607"/>
    <w:sectPr w:rsidR="00692BE1" w:rsidSect="000B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D1607"/>
    <w:rsid w:val="000B0AAC"/>
    <w:rsid w:val="001C4809"/>
    <w:rsid w:val="00331835"/>
    <w:rsid w:val="0049422E"/>
    <w:rsid w:val="004D1607"/>
    <w:rsid w:val="005642D8"/>
    <w:rsid w:val="00564985"/>
    <w:rsid w:val="006E19F1"/>
    <w:rsid w:val="007728A4"/>
    <w:rsid w:val="00CD52E6"/>
    <w:rsid w:val="00E45333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AC"/>
  </w:style>
  <w:style w:type="paragraph" w:styleId="Heading1">
    <w:name w:val="heading 1"/>
    <w:basedOn w:val="Normal"/>
    <w:next w:val="Normal"/>
    <w:link w:val="Heading1Char"/>
    <w:uiPriority w:val="9"/>
    <w:qFormat/>
    <w:rsid w:val="004D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1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60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D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1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akya@astra.iisc.e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Office Word</Application>
  <DocSecurity>0</DocSecurity>
  <Lines>12</Lines>
  <Paragraphs>3</Paragraphs>
  <ScaleCrop>false</ScaleCrop>
  <Company>The University of Adelaide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a1065965</dc:creator>
  <cp:lastModifiedBy>a1065965</cp:lastModifiedBy>
  <cp:revision>1</cp:revision>
  <dcterms:created xsi:type="dcterms:W3CDTF">2010-11-18T03:58:00Z</dcterms:created>
  <dcterms:modified xsi:type="dcterms:W3CDTF">2010-11-18T04:09:00Z</dcterms:modified>
</cp:coreProperties>
</file>