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6B" w:rsidRDefault="0020256B" w:rsidP="0020256B">
      <w:pPr>
        <w:pStyle w:val="Default"/>
      </w:pPr>
    </w:p>
    <w:p w:rsidR="0020256B" w:rsidRDefault="0020256B" w:rsidP="0020256B">
      <w:pPr>
        <w:pStyle w:val="Default"/>
        <w:rPr>
          <w:sz w:val="23"/>
          <w:szCs w:val="23"/>
        </w:rPr>
      </w:pPr>
      <w:r>
        <w:t xml:space="preserve"> </w:t>
      </w:r>
      <w:r>
        <w:rPr>
          <w:sz w:val="23"/>
          <w:szCs w:val="23"/>
        </w:rPr>
        <w:t xml:space="preserve">This specification is for the supply of a biomass gasification plant used for research on biomass combustion for energy. </w:t>
      </w:r>
    </w:p>
    <w:p w:rsidR="0020256B" w:rsidRDefault="0020256B" w:rsidP="0020256B">
      <w:pPr>
        <w:pStyle w:val="Default"/>
        <w:rPr>
          <w:sz w:val="23"/>
          <w:szCs w:val="23"/>
        </w:rPr>
      </w:pPr>
      <w:r>
        <w:rPr>
          <w:sz w:val="23"/>
          <w:szCs w:val="23"/>
        </w:rPr>
        <w:t xml:space="preserve">This technical specification is designed to act also as a compliance statement. Suppliers should indicate whether they “Comply”, “Partially Comply” or “Do Not Comply” for each item. In the case or partial compliance, the supplier must state what aspects comply and what do not. For “Comply” and “Do Not Comply” suppliers are strongly encouraged to indicate the value. In some instances, items which do not comply for all aspects of the technical specification may still be accepted based on the overall strength of the instrument. Under no circumstances should a supplier return this form with elements deleted. Suppliers should provide all relevant brochures and technical sheets on any instrument quoted to support all claims of compliance. The technical specification sheet and all the additional information materials, consisting of brochures, manuals, guides etc. must be provided by the supplier in electronic searchable form on the CD or USB key under the risk of the offer rejection. </w:t>
      </w:r>
    </w:p>
    <w:p w:rsidR="0020256B" w:rsidRDefault="0020256B" w:rsidP="0020256B">
      <w:pPr>
        <w:pStyle w:val="Default"/>
        <w:rPr>
          <w:sz w:val="23"/>
          <w:szCs w:val="23"/>
        </w:rPr>
      </w:pPr>
      <w:r>
        <w:rPr>
          <w:sz w:val="23"/>
          <w:szCs w:val="23"/>
        </w:rPr>
        <w:t xml:space="preserve">Critical remarks: </w:t>
      </w:r>
    </w:p>
    <w:p w:rsidR="0020256B" w:rsidRDefault="0020256B" w:rsidP="0020256B">
      <w:pPr>
        <w:pStyle w:val="Default"/>
        <w:rPr>
          <w:sz w:val="23"/>
          <w:szCs w:val="23"/>
        </w:rPr>
      </w:pPr>
      <w:r>
        <w:rPr>
          <w:sz w:val="23"/>
          <w:szCs w:val="23"/>
        </w:rPr>
        <w:t xml:space="preserve">The instrument must fit the designated area described in the attachments Space for instrument installation and Details of Space for instrument installation. If a system offered is larger than requested, consider </w:t>
      </w:r>
      <w:proofErr w:type="spellStart"/>
      <w:r>
        <w:rPr>
          <w:sz w:val="23"/>
          <w:szCs w:val="23"/>
        </w:rPr>
        <w:t>customisation</w:t>
      </w:r>
      <w:proofErr w:type="spellEnd"/>
      <w:r>
        <w:rPr>
          <w:sz w:val="23"/>
          <w:szCs w:val="23"/>
        </w:rPr>
        <w:t xml:space="preserve">/ miniaturization of the system. To ensure the dimension are in the range, please provide the drawings showing aperture at its location. Also, note that instrument may occupy both under and top bench spaces. Also, see attachment </w:t>
      </w:r>
      <w:r>
        <w:rPr>
          <w:b/>
          <w:bCs/>
          <w:sz w:val="23"/>
          <w:szCs w:val="23"/>
        </w:rPr>
        <w:t xml:space="preserve">Scope of work clarifications </w:t>
      </w:r>
    </w:p>
    <w:p w:rsidR="0020256B" w:rsidRDefault="0020256B" w:rsidP="0020256B">
      <w:pPr>
        <w:pStyle w:val="Default"/>
        <w:rPr>
          <w:sz w:val="23"/>
          <w:szCs w:val="23"/>
        </w:rPr>
      </w:pPr>
      <w:r>
        <w:rPr>
          <w:b/>
          <w:bCs/>
          <w:sz w:val="23"/>
          <w:szCs w:val="23"/>
        </w:rPr>
        <w:t xml:space="preserve">Main Components </w:t>
      </w:r>
    </w:p>
    <w:p w:rsidR="00C118EE" w:rsidRDefault="0020256B" w:rsidP="0020256B">
      <w:pPr>
        <w:rPr>
          <w:sz w:val="23"/>
          <w:szCs w:val="23"/>
        </w:rPr>
      </w:pPr>
      <w:r>
        <w:rPr>
          <w:sz w:val="23"/>
          <w:szCs w:val="23"/>
        </w:rPr>
        <w:t>The system should include the following components</w:t>
      </w:r>
    </w:p>
    <w:p w:rsidR="0020256B" w:rsidRDefault="0020256B" w:rsidP="0020256B">
      <w:pPr>
        <w:rPr>
          <w:sz w:val="23"/>
          <w:szCs w:val="23"/>
        </w:rPr>
      </w:pPr>
    </w:p>
    <w:p w:rsidR="0020256B" w:rsidRDefault="0020256B" w:rsidP="0020256B">
      <w:pPr>
        <w:pStyle w:val="Default"/>
      </w:pPr>
    </w:p>
    <w:p w:rsidR="0020256B" w:rsidRDefault="0020256B" w:rsidP="0020256B">
      <w:pPr>
        <w:pStyle w:val="Default"/>
        <w:rPr>
          <w:color w:val="auto"/>
        </w:rPr>
        <w:sectPr w:rsidR="0020256B">
          <w:pgSz w:w="11906" w:h="17338"/>
          <w:pgMar w:top="1810" w:right="831" w:bottom="653" w:left="1115" w:header="720" w:footer="720" w:gutter="0"/>
          <w:cols w:space="720"/>
          <w:noEndnote/>
        </w:sectPr>
      </w:pPr>
      <w:r>
        <w:t xml:space="preserve"> </w:t>
      </w:r>
    </w:p>
    <w:p w:rsidR="0020256B" w:rsidRDefault="0020256B" w:rsidP="0020256B">
      <w:pPr>
        <w:pStyle w:val="Default"/>
        <w:rPr>
          <w:color w:val="auto"/>
          <w:sz w:val="23"/>
          <w:szCs w:val="23"/>
        </w:rPr>
      </w:pPr>
      <w:r>
        <w:rPr>
          <w:b/>
          <w:bCs/>
          <w:color w:val="auto"/>
          <w:sz w:val="23"/>
          <w:szCs w:val="23"/>
        </w:rPr>
        <w:lastRenderedPageBreak/>
        <w:t xml:space="preserve">Main Components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892"/>
        <w:gridCol w:w="41"/>
        <w:gridCol w:w="3851"/>
        <w:gridCol w:w="82"/>
      </w:tblGrid>
      <w:tr w:rsidR="0020256B" w:rsidTr="0020256B">
        <w:tblPrEx>
          <w:tblCellMar>
            <w:top w:w="0" w:type="dxa"/>
            <w:bottom w:w="0" w:type="dxa"/>
          </w:tblCellMar>
        </w:tblPrEx>
        <w:trPr>
          <w:trHeight w:val="107"/>
        </w:trPr>
        <w:tc>
          <w:tcPr>
            <w:tcW w:w="3933" w:type="dxa"/>
            <w:gridSpan w:val="2"/>
          </w:tcPr>
          <w:p w:rsidR="0020256B" w:rsidRDefault="0020256B">
            <w:pPr>
              <w:pStyle w:val="Default"/>
              <w:rPr>
                <w:sz w:val="23"/>
                <w:szCs w:val="23"/>
              </w:rPr>
            </w:pPr>
            <w:r>
              <w:rPr>
                <w:color w:val="auto"/>
                <w:sz w:val="23"/>
                <w:szCs w:val="23"/>
              </w:rPr>
              <w:t xml:space="preserve">The system should include the following components </w:t>
            </w:r>
            <w:proofErr w:type="spellStart"/>
            <w:r>
              <w:rPr>
                <w:b/>
                <w:bCs/>
                <w:sz w:val="23"/>
                <w:szCs w:val="23"/>
              </w:rPr>
              <w:t>Components</w:t>
            </w:r>
            <w:proofErr w:type="spellEnd"/>
            <w:r>
              <w:rPr>
                <w:b/>
                <w:bCs/>
                <w:sz w:val="23"/>
                <w:szCs w:val="23"/>
              </w:rPr>
              <w:t xml:space="preserve"> </w:t>
            </w:r>
          </w:p>
        </w:tc>
        <w:tc>
          <w:tcPr>
            <w:tcW w:w="3933" w:type="dxa"/>
            <w:gridSpan w:val="2"/>
          </w:tcPr>
          <w:p w:rsidR="0020256B" w:rsidRDefault="0020256B">
            <w:pPr>
              <w:pStyle w:val="Default"/>
              <w:rPr>
                <w:sz w:val="23"/>
                <w:szCs w:val="23"/>
              </w:rPr>
            </w:pPr>
            <w:r>
              <w:rPr>
                <w:b/>
                <w:bCs/>
                <w:sz w:val="23"/>
                <w:szCs w:val="23"/>
              </w:rPr>
              <w:t xml:space="preserve">Compliance statement </w:t>
            </w:r>
          </w:p>
        </w:tc>
      </w:tr>
      <w:tr w:rsidR="0020256B" w:rsidTr="0020256B">
        <w:tblPrEx>
          <w:tblCellMar>
            <w:top w:w="0" w:type="dxa"/>
            <w:bottom w:w="0" w:type="dxa"/>
          </w:tblCellMar>
        </w:tblPrEx>
        <w:trPr>
          <w:trHeight w:val="385"/>
        </w:trPr>
        <w:tc>
          <w:tcPr>
            <w:tcW w:w="3933" w:type="dxa"/>
            <w:gridSpan w:val="2"/>
          </w:tcPr>
          <w:p w:rsidR="0020256B" w:rsidRDefault="0020256B">
            <w:pPr>
              <w:pStyle w:val="Default"/>
              <w:rPr>
                <w:color w:val="auto"/>
              </w:rPr>
            </w:pPr>
          </w:p>
          <w:p w:rsidR="0020256B" w:rsidRDefault="0020256B">
            <w:pPr>
              <w:pStyle w:val="Default"/>
              <w:rPr>
                <w:sz w:val="23"/>
                <w:szCs w:val="23"/>
              </w:rPr>
            </w:pPr>
            <w:r>
              <w:rPr>
                <w:sz w:val="23"/>
                <w:szCs w:val="23"/>
              </w:rPr>
              <w:t xml:space="preserve">1. </w:t>
            </w:r>
          </w:p>
          <w:p w:rsidR="0020256B" w:rsidRDefault="0020256B">
            <w:pPr>
              <w:pStyle w:val="Default"/>
              <w:rPr>
                <w:sz w:val="23"/>
                <w:szCs w:val="23"/>
              </w:rPr>
            </w:pPr>
          </w:p>
        </w:tc>
        <w:tc>
          <w:tcPr>
            <w:tcW w:w="3933" w:type="dxa"/>
            <w:gridSpan w:val="2"/>
          </w:tcPr>
          <w:p w:rsidR="0020256B" w:rsidRDefault="0020256B">
            <w:pPr>
              <w:pStyle w:val="Default"/>
              <w:rPr>
                <w:sz w:val="23"/>
                <w:szCs w:val="23"/>
              </w:rPr>
            </w:pPr>
            <w:r>
              <w:rPr>
                <w:sz w:val="23"/>
                <w:szCs w:val="23"/>
              </w:rPr>
              <w:t xml:space="preserve">Reactor in the form of fluidized bed (Fluidized bed is preferred but fixed bed will also be considered) </w:t>
            </w:r>
          </w:p>
        </w:tc>
      </w:tr>
      <w:tr w:rsidR="0020256B" w:rsidTr="0020256B">
        <w:tblPrEx>
          <w:tblCellMar>
            <w:top w:w="0" w:type="dxa"/>
            <w:bottom w:w="0" w:type="dxa"/>
          </w:tblCellMar>
        </w:tblPrEx>
        <w:trPr>
          <w:trHeight w:val="524"/>
        </w:trPr>
        <w:tc>
          <w:tcPr>
            <w:tcW w:w="3933" w:type="dxa"/>
            <w:gridSpan w:val="2"/>
          </w:tcPr>
          <w:p w:rsidR="0020256B" w:rsidRDefault="0020256B">
            <w:pPr>
              <w:pStyle w:val="Default"/>
              <w:rPr>
                <w:color w:val="auto"/>
              </w:rPr>
            </w:pPr>
          </w:p>
          <w:p w:rsidR="0020256B" w:rsidRDefault="0020256B">
            <w:pPr>
              <w:pStyle w:val="Default"/>
              <w:rPr>
                <w:sz w:val="23"/>
                <w:szCs w:val="23"/>
              </w:rPr>
            </w:pPr>
            <w:r>
              <w:rPr>
                <w:sz w:val="23"/>
                <w:szCs w:val="23"/>
              </w:rPr>
              <w:t xml:space="preserve">2. </w:t>
            </w:r>
          </w:p>
          <w:p w:rsidR="0020256B" w:rsidRDefault="0020256B">
            <w:pPr>
              <w:pStyle w:val="Default"/>
              <w:rPr>
                <w:sz w:val="23"/>
                <w:szCs w:val="23"/>
              </w:rPr>
            </w:pPr>
          </w:p>
        </w:tc>
        <w:tc>
          <w:tcPr>
            <w:tcW w:w="3933" w:type="dxa"/>
            <w:gridSpan w:val="2"/>
          </w:tcPr>
          <w:p w:rsidR="0020256B" w:rsidRDefault="0020256B">
            <w:pPr>
              <w:pStyle w:val="Default"/>
              <w:rPr>
                <w:sz w:val="23"/>
                <w:szCs w:val="23"/>
              </w:rPr>
            </w:pPr>
            <w:r>
              <w:rPr>
                <w:sz w:val="23"/>
                <w:szCs w:val="23"/>
              </w:rPr>
              <w:t xml:space="preserve">A gas handling and mixing sub-system; including </w:t>
            </w:r>
          </w:p>
          <w:p w:rsidR="0020256B" w:rsidRDefault="0020256B">
            <w:pPr>
              <w:pStyle w:val="Default"/>
              <w:rPr>
                <w:sz w:val="23"/>
                <w:szCs w:val="23"/>
              </w:rPr>
            </w:pPr>
            <w:r>
              <w:rPr>
                <w:sz w:val="23"/>
                <w:szCs w:val="23"/>
              </w:rPr>
              <w:t xml:space="preserve">N2, O2 and CO2 supply with cylinders and N2, O2 generators. </w:t>
            </w:r>
          </w:p>
        </w:tc>
      </w:tr>
      <w:tr w:rsidR="0020256B" w:rsidTr="0020256B">
        <w:tblPrEx>
          <w:tblCellMar>
            <w:top w:w="0" w:type="dxa"/>
            <w:bottom w:w="0" w:type="dxa"/>
          </w:tblCellMar>
        </w:tblPrEx>
        <w:trPr>
          <w:trHeight w:val="524"/>
        </w:trPr>
        <w:tc>
          <w:tcPr>
            <w:tcW w:w="3933" w:type="dxa"/>
            <w:gridSpan w:val="2"/>
          </w:tcPr>
          <w:p w:rsidR="0020256B" w:rsidRDefault="0020256B">
            <w:pPr>
              <w:pStyle w:val="Default"/>
              <w:rPr>
                <w:color w:val="auto"/>
              </w:rPr>
            </w:pPr>
          </w:p>
          <w:p w:rsidR="0020256B" w:rsidRDefault="0020256B">
            <w:pPr>
              <w:pStyle w:val="Default"/>
              <w:rPr>
                <w:sz w:val="23"/>
                <w:szCs w:val="23"/>
              </w:rPr>
            </w:pPr>
            <w:r>
              <w:rPr>
                <w:sz w:val="23"/>
                <w:szCs w:val="23"/>
              </w:rPr>
              <w:t xml:space="preserve">3. </w:t>
            </w:r>
          </w:p>
          <w:p w:rsidR="0020256B" w:rsidRDefault="0020256B">
            <w:pPr>
              <w:pStyle w:val="Default"/>
              <w:rPr>
                <w:sz w:val="23"/>
                <w:szCs w:val="23"/>
              </w:rPr>
            </w:pPr>
          </w:p>
        </w:tc>
        <w:tc>
          <w:tcPr>
            <w:tcW w:w="3933" w:type="dxa"/>
            <w:gridSpan w:val="2"/>
          </w:tcPr>
          <w:p w:rsidR="0020256B" w:rsidRDefault="0020256B">
            <w:pPr>
              <w:pStyle w:val="Default"/>
              <w:rPr>
                <w:sz w:val="23"/>
                <w:szCs w:val="23"/>
              </w:rPr>
            </w:pPr>
            <w:r>
              <w:rPr>
                <w:sz w:val="23"/>
                <w:szCs w:val="23"/>
              </w:rPr>
              <w:t xml:space="preserve">Steam generator to supply steam for gasification </w:t>
            </w:r>
          </w:p>
          <w:p w:rsidR="0020256B" w:rsidRDefault="0020256B">
            <w:pPr>
              <w:pStyle w:val="Default"/>
              <w:rPr>
                <w:sz w:val="23"/>
                <w:szCs w:val="23"/>
              </w:rPr>
            </w:pPr>
            <w:r>
              <w:rPr>
                <w:sz w:val="23"/>
                <w:szCs w:val="23"/>
              </w:rPr>
              <w:t>(Steam temperature: 100-120°C, Steam capacity: 3 kg/</w:t>
            </w:r>
            <w:proofErr w:type="spellStart"/>
            <w:r>
              <w:rPr>
                <w:sz w:val="23"/>
                <w:szCs w:val="23"/>
              </w:rPr>
              <w:t>hr</w:t>
            </w:r>
            <w:proofErr w:type="spellEnd"/>
            <w:r>
              <w:rPr>
                <w:sz w:val="23"/>
                <w:szCs w:val="23"/>
              </w:rPr>
              <w:t xml:space="preserve">)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4.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A heated cyclone separator or filter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5.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Condenser capable reduce temperature of gases to 25 </w:t>
            </w:r>
            <w:r w:rsidRPr="0020256B">
              <w:rPr>
                <w:rFonts w:ascii="Cambria Math" w:hAnsi="Cambria Math" w:cs="Cambria Math"/>
                <w:sz w:val="23"/>
                <w:szCs w:val="23"/>
              </w:rPr>
              <w:t>⁰</w:t>
            </w:r>
            <w:r>
              <w:rPr>
                <w:sz w:val="23"/>
                <w:szCs w:val="23"/>
              </w:rPr>
              <w:t xml:space="preserve">C, but it also should be adjustable to obtain gases with temperature 150 </w:t>
            </w:r>
            <w:r w:rsidRPr="0020256B">
              <w:rPr>
                <w:rFonts w:ascii="Cambria Math" w:hAnsi="Cambria Math" w:cs="Cambria Math"/>
                <w:sz w:val="23"/>
                <w:szCs w:val="23"/>
              </w:rPr>
              <w:t>⁰</w:t>
            </w:r>
            <w:r>
              <w:rPr>
                <w:sz w:val="23"/>
                <w:szCs w:val="23"/>
              </w:rPr>
              <w:t xml:space="preserve">C and 200 </w:t>
            </w:r>
            <w:r w:rsidRPr="0020256B">
              <w:rPr>
                <w:rFonts w:ascii="Cambria Math" w:hAnsi="Cambria Math" w:cs="Cambria Math"/>
                <w:sz w:val="23"/>
                <w:szCs w:val="23"/>
              </w:rPr>
              <w:t>⁰</w:t>
            </w:r>
            <w:r>
              <w:rPr>
                <w:sz w:val="23"/>
                <w:szCs w:val="23"/>
              </w:rPr>
              <w:t xml:space="preserve">C.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6.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Product Receiver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7.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Controller Unit – PCL type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8.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All necessary connecting equipment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9.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Equipment stand. (Stand that enables easiest relocation of instrument will be preferred)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10.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Needs to enable online system monitoring and diagnosis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11.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Steam generator (to power the turbine)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12.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Turbine powered by steam generator (to measure power output of gasification)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13.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Engine (to measure power output of gasification)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14.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lastRenderedPageBreak/>
              <w:t xml:space="preserve">Min 50 kg Feedstock bin </w:t>
            </w:r>
          </w:p>
          <w:p w:rsidR="0020256B" w:rsidRDefault="0020256B">
            <w:pPr>
              <w:pStyle w:val="Default"/>
              <w:rPr>
                <w:sz w:val="23"/>
                <w:szCs w:val="23"/>
              </w:rPr>
            </w:pPr>
            <w:r>
              <w:rPr>
                <w:sz w:val="23"/>
                <w:szCs w:val="23"/>
              </w:rPr>
              <w:lastRenderedPageBreak/>
              <w:t xml:space="preserve">(could feed materials (size &lt;2 mm) continuously without choking </w:t>
            </w:r>
          </w:p>
        </w:tc>
      </w:tr>
      <w:tr w:rsidR="0020256B" w:rsidTr="0020256B">
        <w:tblPrEx>
          <w:tblCellMar>
            <w:top w:w="0" w:type="dxa"/>
            <w:bottom w:w="0" w:type="dxa"/>
          </w:tblCellMar>
        </w:tblPrEx>
        <w:trPr>
          <w:trHeight w:val="524"/>
        </w:trPr>
        <w:tc>
          <w:tcPr>
            <w:tcW w:w="3933" w:type="dxa"/>
            <w:gridSpan w:val="2"/>
            <w:tcBorders>
              <w:left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15. </w:t>
            </w:r>
          </w:p>
          <w:p w:rsidR="0020256B" w:rsidRPr="0020256B" w:rsidRDefault="0020256B">
            <w:pPr>
              <w:pStyle w:val="Default"/>
              <w:rPr>
                <w:color w:val="auto"/>
              </w:rPr>
            </w:pPr>
          </w:p>
        </w:tc>
        <w:tc>
          <w:tcPr>
            <w:tcW w:w="3933" w:type="dxa"/>
            <w:gridSpan w:val="2"/>
            <w:tcBorders>
              <w:right w:val="nil"/>
            </w:tcBorders>
          </w:tcPr>
          <w:p w:rsidR="0020256B" w:rsidRDefault="0020256B">
            <w:pPr>
              <w:pStyle w:val="Default"/>
              <w:rPr>
                <w:sz w:val="23"/>
                <w:szCs w:val="23"/>
              </w:rPr>
            </w:pPr>
            <w:r>
              <w:rPr>
                <w:sz w:val="23"/>
                <w:szCs w:val="23"/>
              </w:rPr>
              <w:t xml:space="preserve">Flue gas meter </w:t>
            </w:r>
          </w:p>
        </w:tc>
      </w:tr>
      <w:tr w:rsidR="0020256B" w:rsidTr="0020256B">
        <w:tblPrEx>
          <w:tblCellMar>
            <w:top w:w="0" w:type="dxa"/>
            <w:bottom w:w="0" w:type="dxa"/>
          </w:tblCellMar>
        </w:tblPrEx>
        <w:trPr>
          <w:trHeight w:val="524"/>
        </w:trPr>
        <w:tc>
          <w:tcPr>
            <w:tcW w:w="3933" w:type="dxa"/>
            <w:gridSpan w:val="2"/>
            <w:tcBorders>
              <w:left w:val="nil"/>
              <w:bottom w:val="nil"/>
            </w:tcBorders>
          </w:tcPr>
          <w:p w:rsidR="0020256B" w:rsidRDefault="0020256B">
            <w:pPr>
              <w:pStyle w:val="Default"/>
              <w:rPr>
                <w:color w:val="auto"/>
              </w:rPr>
            </w:pPr>
          </w:p>
          <w:p w:rsidR="0020256B" w:rsidRPr="0020256B" w:rsidRDefault="0020256B">
            <w:pPr>
              <w:pStyle w:val="Default"/>
              <w:rPr>
                <w:color w:val="auto"/>
              </w:rPr>
            </w:pPr>
            <w:r w:rsidRPr="0020256B">
              <w:rPr>
                <w:color w:val="auto"/>
              </w:rPr>
              <w:t xml:space="preserve">16. </w:t>
            </w:r>
          </w:p>
          <w:p w:rsidR="0020256B" w:rsidRPr="0020256B" w:rsidRDefault="0020256B">
            <w:pPr>
              <w:pStyle w:val="Default"/>
              <w:rPr>
                <w:color w:val="auto"/>
              </w:rPr>
            </w:pPr>
          </w:p>
        </w:tc>
        <w:tc>
          <w:tcPr>
            <w:tcW w:w="3933" w:type="dxa"/>
            <w:gridSpan w:val="2"/>
            <w:tcBorders>
              <w:bottom w:val="nil"/>
              <w:right w:val="nil"/>
            </w:tcBorders>
          </w:tcPr>
          <w:p w:rsidR="0020256B" w:rsidRDefault="0020256B">
            <w:pPr>
              <w:pStyle w:val="Default"/>
              <w:rPr>
                <w:sz w:val="23"/>
                <w:szCs w:val="23"/>
              </w:rPr>
            </w:pPr>
            <w:r>
              <w:rPr>
                <w:sz w:val="23"/>
                <w:szCs w:val="23"/>
              </w:rPr>
              <w:t xml:space="preserve">Pressure meters located at the condenser exit </w:t>
            </w:r>
          </w:p>
        </w:tc>
      </w:tr>
      <w:tr w:rsidR="0020256B" w:rsidTr="0020256B">
        <w:tblPrEx>
          <w:tblCellMar>
            <w:top w:w="0" w:type="dxa"/>
            <w:bottom w:w="0" w:type="dxa"/>
          </w:tblCellMar>
        </w:tblPrEx>
        <w:trPr>
          <w:gridAfter w:val="1"/>
          <w:wAfter w:w="82" w:type="dxa"/>
          <w:trHeight w:val="107"/>
        </w:trPr>
        <w:tc>
          <w:tcPr>
            <w:tcW w:w="3892" w:type="dxa"/>
          </w:tcPr>
          <w:p w:rsidR="0020256B" w:rsidRDefault="0020256B">
            <w:pPr>
              <w:pStyle w:val="Default"/>
              <w:rPr>
                <w:sz w:val="23"/>
                <w:szCs w:val="23"/>
              </w:rPr>
            </w:pPr>
            <w:r>
              <w:rPr>
                <w:b/>
                <w:bCs/>
                <w:sz w:val="23"/>
                <w:szCs w:val="23"/>
              </w:rPr>
              <w:t xml:space="preserve">Instrument Features Feature </w:t>
            </w:r>
          </w:p>
        </w:tc>
        <w:tc>
          <w:tcPr>
            <w:tcW w:w="3892" w:type="dxa"/>
            <w:gridSpan w:val="2"/>
          </w:tcPr>
          <w:p w:rsidR="0020256B" w:rsidRDefault="0020256B">
            <w:pPr>
              <w:pStyle w:val="Default"/>
              <w:rPr>
                <w:sz w:val="23"/>
                <w:szCs w:val="23"/>
              </w:rPr>
            </w:pPr>
            <w:r>
              <w:rPr>
                <w:b/>
                <w:bCs/>
                <w:sz w:val="23"/>
                <w:szCs w:val="23"/>
              </w:rPr>
              <w:t xml:space="preserve">Compliance statement </w:t>
            </w:r>
          </w:p>
        </w:tc>
      </w:tr>
      <w:tr w:rsidR="0020256B" w:rsidTr="0020256B">
        <w:tblPrEx>
          <w:tblCellMar>
            <w:top w:w="0" w:type="dxa"/>
            <w:bottom w:w="0" w:type="dxa"/>
          </w:tblCellMar>
        </w:tblPrEx>
        <w:trPr>
          <w:gridAfter w:val="1"/>
          <w:wAfter w:w="82" w:type="dxa"/>
          <w:trHeight w:val="109"/>
        </w:trPr>
        <w:tc>
          <w:tcPr>
            <w:tcW w:w="7784" w:type="dxa"/>
            <w:gridSpan w:val="3"/>
          </w:tcPr>
          <w:p w:rsidR="0020256B" w:rsidRDefault="0020256B">
            <w:pPr>
              <w:pStyle w:val="Default"/>
              <w:rPr>
                <w:sz w:val="23"/>
                <w:szCs w:val="23"/>
              </w:rPr>
            </w:pPr>
            <w:r>
              <w:rPr>
                <w:i/>
                <w:iCs/>
                <w:sz w:val="23"/>
                <w:szCs w:val="23"/>
              </w:rPr>
              <w:t xml:space="preserve">System </w:t>
            </w:r>
          </w:p>
        </w:tc>
      </w:tr>
    </w:tbl>
    <w:p w:rsidR="0020256B" w:rsidRDefault="0020256B" w:rsidP="0020256B"/>
    <w:tbl>
      <w:tblPr>
        <w:tblW w:w="0" w:type="auto"/>
        <w:tblInd w:w="-108" w:type="dxa"/>
        <w:tblBorders>
          <w:top w:val="nil"/>
          <w:left w:val="nil"/>
          <w:bottom w:val="nil"/>
          <w:right w:val="nil"/>
        </w:tblBorders>
        <w:tblLayout w:type="fixed"/>
        <w:tblLook w:val="0000" w:firstRow="0" w:lastRow="0" w:firstColumn="0" w:lastColumn="0" w:noHBand="0" w:noVBand="0"/>
      </w:tblPr>
      <w:tblGrid>
        <w:gridCol w:w="2837"/>
        <w:gridCol w:w="2837"/>
      </w:tblGrid>
      <w:tr w:rsidR="0020256B">
        <w:tblPrEx>
          <w:tblCellMar>
            <w:top w:w="0" w:type="dxa"/>
            <w:bottom w:w="0" w:type="dxa"/>
          </w:tblCellMar>
        </w:tblPrEx>
        <w:trPr>
          <w:trHeight w:val="385"/>
        </w:trPr>
        <w:tc>
          <w:tcPr>
            <w:tcW w:w="2837" w:type="dxa"/>
          </w:tcPr>
          <w:p w:rsidR="0020256B" w:rsidRDefault="0020256B">
            <w:pPr>
              <w:pStyle w:val="Default"/>
              <w:rPr>
                <w:sz w:val="23"/>
                <w:szCs w:val="23"/>
              </w:rPr>
            </w:pPr>
            <w:r>
              <w:rPr>
                <w:sz w:val="23"/>
                <w:szCs w:val="23"/>
              </w:rPr>
              <w:t xml:space="preserve">1 </w:t>
            </w:r>
          </w:p>
        </w:tc>
        <w:tc>
          <w:tcPr>
            <w:tcW w:w="2837" w:type="dxa"/>
          </w:tcPr>
          <w:p w:rsidR="0020256B" w:rsidRDefault="0020256B">
            <w:pPr>
              <w:pStyle w:val="Default"/>
              <w:rPr>
                <w:sz w:val="23"/>
                <w:szCs w:val="23"/>
              </w:rPr>
            </w:pPr>
            <w:r>
              <w:rPr>
                <w:sz w:val="23"/>
                <w:szCs w:val="23"/>
              </w:rPr>
              <w:t xml:space="preserve">The system must be compatible with GC/MS analytical equipment, for example by using the tee connection and forward pressure regulator </w:t>
            </w:r>
          </w:p>
        </w:tc>
      </w:tr>
      <w:tr w:rsidR="0020256B">
        <w:tblPrEx>
          <w:tblCellMar>
            <w:top w:w="0" w:type="dxa"/>
            <w:bottom w:w="0" w:type="dxa"/>
          </w:tblCellMar>
        </w:tblPrEx>
        <w:trPr>
          <w:trHeight w:val="385"/>
        </w:trPr>
        <w:tc>
          <w:tcPr>
            <w:tcW w:w="2837" w:type="dxa"/>
          </w:tcPr>
          <w:p w:rsidR="0020256B" w:rsidRDefault="0020256B">
            <w:pPr>
              <w:pStyle w:val="Default"/>
              <w:rPr>
                <w:sz w:val="23"/>
                <w:szCs w:val="23"/>
              </w:rPr>
            </w:pPr>
            <w:r>
              <w:rPr>
                <w:sz w:val="23"/>
                <w:szCs w:val="23"/>
              </w:rPr>
              <w:t xml:space="preserve">2 </w:t>
            </w:r>
          </w:p>
        </w:tc>
        <w:tc>
          <w:tcPr>
            <w:tcW w:w="2837" w:type="dxa"/>
          </w:tcPr>
          <w:p w:rsidR="0020256B" w:rsidRDefault="0020256B">
            <w:pPr>
              <w:pStyle w:val="Default"/>
              <w:rPr>
                <w:sz w:val="23"/>
                <w:szCs w:val="23"/>
              </w:rPr>
            </w:pPr>
            <w:r>
              <w:rPr>
                <w:sz w:val="23"/>
                <w:szCs w:val="23"/>
              </w:rPr>
              <w:t xml:space="preserve">The process of gasification should be continuous. The system must be setup for automated drain from the product recovery vessel.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1 </w:t>
            </w:r>
          </w:p>
        </w:tc>
        <w:tc>
          <w:tcPr>
            <w:tcW w:w="2837" w:type="dxa"/>
            <w:tcBorders>
              <w:right w:val="nil"/>
            </w:tcBorders>
          </w:tcPr>
          <w:p w:rsidR="0020256B" w:rsidRDefault="0020256B">
            <w:pPr>
              <w:pStyle w:val="Default"/>
              <w:rPr>
                <w:sz w:val="23"/>
                <w:szCs w:val="23"/>
              </w:rPr>
            </w:pPr>
            <w:r>
              <w:rPr>
                <w:sz w:val="23"/>
                <w:szCs w:val="23"/>
              </w:rPr>
              <w:t xml:space="preserve">Should be able to convert biomass and other waste materials into synthesis gas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2 </w:t>
            </w:r>
          </w:p>
        </w:tc>
        <w:tc>
          <w:tcPr>
            <w:tcW w:w="2837" w:type="dxa"/>
            <w:tcBorders>
              <w:right w:val="nil"/>
            </w:tcBorders>
          </w:tcPr>
          <w:p w:rsidR="0020256B" w:rsidRDefault="0020256B">
            <w:pPr>
              <w:pStyle w:val="Default"/>
              <w:rPr>
                <w:sz w:val="23"/>
                <w:szCs w:val="23"/>
              </w:rPr>
            </w:pPr>
            <w:r>
              <w:rPr>
                <w:sz w:val="23"/>
                <w:szCs w:val="23"/>
              </w:rPr>
              <w:t xml:space="preserve">Reactor volume should be no less than 400 cc and no more than 5000 cc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3 </w:t>
            </w:r>
          </w:p>
        </w:tc>
        <w:tc>
          <w:tcPr>
            <w:tcW w:w="2837" w:type="dxa"/>
            <w:tcBorders>
              <w:right w:val="nil"/>
            </w:tcBorders>
          </w:tcPr>
          <w:p w:rsidR="0020256B" w:rsidRDefault="0020256B">
            <w:pPr>
              <w:pStyle w:val="Default"/>
              <w:rPr>
                <w:sz w:val="23"/>
                <w:szCs w:val="23"/>
              </w:rPr>
            </w:pPr>
            <w:r>
              <w:rPr>
                <w:sz w:val="23"/>
                <w:szCs w:val="23"/>
              </w:rPr>
              <w:t xml:space="preserve">The fluidized bad reactor should be able to work in fixed bed reactor mode (via gas flow reduction) without damaging the system.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4 </w:t>
            </w:r>
          </w:p>
        </w:tc>
        <w:tc>
          <w:tcPr>
            <w:tcW w:w="2837" w:type="dxa"/>
            <w:tcBorders>
              <w:right w:val="nil"/>
            </w:tcBorders>
          </w:tcPr>
          <w:p w:rsidR="0020256B" w:rsidRDefault="0020256B">
            <w:pPr>
              <w:pStyle w:val="Default"/>
              <w:rPr>
                <w:sz w:val="23"/>
                <w:szCs w:val="23"/>
              </w:rPr>
            </w:pPr>
            <w:r>
              <w:rPr>
                <w:sz w:val="23"/>
                <w:szCs w:val="23"/>
              </w:rPr>
              <w:t xml:space="preserve">Reactor should operate in temperature range 600- 1200 </w:t>
            </w:r>
            <w:r w:rsidRPr="0020256B">
              <w:rPr>
                <w:rFonts w:ascii="Cambria Math" w:hAnsi="Cambria Math" w:cs="Cambria Math"/>
                <w:sz w:val="23"/>
                <w:szCs w:val="23"/>
              </w:rPr>
              <w:t>⁰</w:t>
            </w:r>
            <w:r>
              <w:rPr>
                <w:sz w:val="23"/>
                <w:szCs w:val="23"/>
              </w:rPr>
              <w:t xml:space="preserve">C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5 </w:t>
            </w:r>
          </w:p>
        </w:tc>
        <w:tc>
          <w:tcPr>
            <w:tcW w:w="2837" w:type="dxa"/>
            <w:tcBorders>
              <w:right w:val="nil"/>
            </w:tcBorders>
          </w:tcPr>
          <w:p w:rsidR="0020256B" w:rsidRDefault="0020256B">
            <w:pPr>
              <w:pStyle w:val="Default"/>
              <w:rPr>
                <w:sz w:val="23"/>
                <w:szCs w:val="23"/>
              </w:rPr>
            </w:pPr>
            <w:r>
              <w:rPr>
                <w:sz w:val="23"/>
                <w:szCs w:val="23"/>
              </w:rPr>
              <w:t xml:space="preserve">Reactor detachable to enable cleaning prior to our experimental runs.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6 </w:t>
            </w:r>
          </w:p>
        </w:tc>
        <w:tc>
          <w:tcPr>
            <w:tcW w:w="2837" w:type="dxa"/>
            <w:tcBorders>
              <w:right w:val="nil"/>
            </w:tcBorders>
          </w:tcPr>
          <w:p w:rsidR="0020256B" w:rsidRDefault="0020256B">
            <w:pPr>
              <w:pStyle w:val="Default"/>
              <w:rPr>
                <w:sz w:val="23"/>
                <w:szCs w:val="23"/>
              </w:rPr>
            </w:pPr>
            <w:r>
              <w:rPr>
                <w:sz w:val="23"/>
                <w:szCs w:val="23"/>
              </w:rPr>
              <w:t xml:space="preserve">Reactor must be resistant against cleaning agents and suitable for mechanical cleaning – removal of solid residues using hammer for example.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7 </w:t>
            </w:r>
          </w:p>
        </w:tc>
        <w:tc>
          <w:tcPr>
            <w:tcW w:w="2837" w:type="dxa"/>
            <w:tcBorders>
              <w:right w:val="nil"/>
            </w:tcBorders>
          </w:tcPr>
          <w:p w:rsidR="0020256B" w:rsidRDefault="0020256B">
            <w:pPr>
              <w:pStyle w:val="Default"/>
              <w:rPr>
                <w:sz w:val="23"/>
                <w:szCs w:val="23"/>
              </w:rPr>
            </w:pPr>
            <w:r>
              <w:rPr>
                <w:sz w:val="23"/>
                <w:szCs w:val="23"/>
              </w:rPr>
              <w:t xml:space="preserve">A heated cyclone separator or filter must be easily detachable, and suitable for </w:t>
            </w:r>
            <w:r>
              <w:rPr>
                <w:sz w:val="23"/>
                <w:szCs w:val="23"/>
              </w:rPr>
              <w:lastRenderedPageBreak/>
              <w:t xml:space="preserve">chemical and mechanical cleaning.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lastRenderedPageBreak/>
              <w:t xml:space="preserve">8 </w:t>
            </w:r>
          </w:p>
        </w:tc>
        <w:tc>
          <w:tcPr>
            <w:tcW w:w="2837" w:type="dxa"/>
            <w:tcBorders>
              <w:right w:val="nil"/>
            </w:tcBorders>
          </w:tcPr>
          <w:p w:rsidR="0020256B" w:rsidRDefault="0020256B">
            <w:pPr>
              <w:pStyle w:val="Default"/>
              <w:rPr>
                <w:sz w:val="23"/>
                <w:szCs w:val="23"/>
              </w:rPr>
            </w:pPr>
            <w:r>
              <w:rPr>
                <w:sz w:val="23"/>
                <w:szCs w:val="23"/>
              </w:rPr>
              <w:t xml:space="preserve">Condenser must be easily detachable, suitable for chemical and mechanical cleaning. </w:t>
            </w:r>
          </w:p>
        </w:tc>
      </w:tr>
      <w:tr w:rsidR="0020256B" w:rsidTr="0020256B">
        <w:tblPrEx>
          <w:tblCellMar>
            <w:top w:w="0" w:type="dxa"/>
            <w:bottom w:w="0" w:type="dxa"/>
          </w:tblCellMar>
        </w:tblPrEx>
        <w:trPr>
          <w:trHeight w:val="385"/>
        </w:trPr>
        <w:tc>
          <w:tcPr>
            <w:tcW w:w="2837" w:type="dxa"/>
            <w:tcBorders>
              <w:left w:val="nil"/>
            </w:tcBorders>
          </w:tcPr>
          <w:p w:rsidR="0020256B" w:rsidRDefault="0020256B">
            <w:pPr>
              <w:pStyle w:val="Default"/>
              <w:rPr>
                <w:sz w:val="23"/>
                <w:szCs w:val="23"/>
              </w:rPr>
            </w:pPr>
            <w:r>
              <w:rPr>
                <w:sz w:val="23"/>
                <w:szCs w:val="23"/>
              </w:rPr>
              <w:t xml:space="preserve">9 </w:t>
            </w:r>
          </w:p>
        </w:tc>
        <w:tc>
          <w:tcPr>
            <w:tcW w:w="2837" w:type="dxa"/>
            <w:tcBorders>
              <w:right w:val="nil"/>
            </w:tcBorders>
          </w:tcPr>
          <w:p w:rsidR="0020256B" w:rsidRDefault="0020256B">
            <w:pPr>
              <w:pStyle w:val="Default"/>
              <w:rPr>
                <w:sz w:val="23"/>
                <w:szCs w:val="23"/>
              </w:rPr>
            </w:pPr>
            <w:r>
              <w:rPr>
                <w:sz w:val="23"/>
                <w:szCs w:val="23"/>
              </w:rPr>
              <w:t xml:space="preserve">Flue gas meter optimized to compile with ranges highlighted at point 10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10 </w:t>
            </w:r>
          </w:p>
        </w:tc>
        <w:tc>
          <w:tcPr>
            <w:tcW w:w="2837" w:type="dxa"/>
            <w:tcBorders>
              <w:bottom w:val="nil"/>
              <w:right w:val="nil"/>
            </w:tcBorders>
          </w:tcPr>
          <w:p w:rsidR="0020256B" w:rsidRDefault="0020256B">
            <w:pPr>
              <w:pStyle w:val="Default"/>
              <w:rPr>
                <w:sz w:val="23"/>
                <w:szCs w:val="23"/>
              </w:rPr>
            </w:pPr>
            <w:r>
              <w:rPr>
                <w:sz w:val="23"/>
                <w:szCs w:val="23"/>
              </w:rPr>
              <w:t>Controller Unit – PCL type must enable controlling the parameters such as temperature (600-1200</w:t>
            </w:r>
            <w:r w:rsidRPr="0020256B">
              <w:rPr>
                <w:rFonts w:ascii="Cambria Math" w:hAnsi="Cambria Math" w:cs="Cambria Math"/>
                <w:sz w:val="23"/>
                <w:szCs w:val="23"/>
              </w:rPr>
              <w:t>⁰</w:t>
            </w:r>
            <w:r>
              <w:rPr>
                <w:sz w:val="23"/>
                <w:szCs w:val="23"/>
              </w:rPr>
              <w:t xml:space="preserve">C), heating rate (&lt;25°C/min), solid residence time (&lt;60 min), steam to biomass ratio (0 to 5), Equivalence ratio (&lt;0.5), pressures.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11 </w:t>
            </w:r>
          </w:p>
        </w:tc>
        <w:tc>
          <w:tcPr>
            <w:tcW w:w="2837" w:type="dxa"/>
            <w:tcBorders>
              <w:bottom w:val="nil"/>
              <w:right w:val="nil"/>
            </w:tcBorders>
          </w:tcPr>
          <w:p w:rsidR="0020256B" w:rsidRDefault="0020256B">
            <w:pPr>
              <w:pStyle w:val="Default"/>
              <w:rPr>
                <w:sz w:val="23"/>
                <w:szCs w:val="23"/>
              </w:rPr>
            </w:pPr>
            <w:r>
              <w:rPr>
                <w:sz w:val="23"/>
                <w:szCs w:val="23"/>
              </w:rPr>
              <w:t xml:space="preserve">Steam generator must be equipped with steam flow meter.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sidRPr="0020256B">
              <w:rPr>
                <w:sz w:val="23"/>
                <w:szCs w:val="23"/>
              </w:rPr>
              <w:t xml:space="preserve">Physical Compatibility Requirements Parameter </w:t>
            </w:r>
          </w:p>
        </w:tc>
        <w:tc>
          <w:tcPr>
            <w:tcW w:w="2837" w:type="dxa"/>
            <w:tcBorders>
              <w:bottom w:val="nil"/>
              <w:right w:val="nil"/>
            </w:tcBorders>
          </w:tcPr>
          <w:p w:rsidR="0020256B" w:rsidRDefault="0020256B">
            <w:pPr>
              <w:pStyle w:val="Default"/>
              <w:rPr>
                <w:sz w:val="23"/>
                <w:szCs w:val="23"/>
              </w:rPr>
            </w:pPr>
            <w:r w:rsidRPr="0020256B">
              <w:rPr>
                <w:sz w:val="23"/>
                <w:szCs w:val="23"/>
              </w:rPr>
              <w:t xml:space="preserve">Compliance statement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1 </w:t>
            </w:r>
          </w:p>
        </w:tc>
        <w:tc>
          <w:tcPr>
            <w:tcW w:w="2837" w:type="dxa"/>
            <w:tcBorders>
              <w:bottom w:val="nil"/>
              <w:right w:val="nil"/>
            </w:tcBorders>
          </w:tcPr>
          <w:p w:rsidR="0020256B" w:rsidRDefault="0020256B">
            <w:pPr>
              <w:pStyle w:val="Default"/>
              <w:rPr>
                <w:sz w:val="23"/>
                <w:szCs w:val="23"/>
              </w:rPr>
            </w:pPr>
            <w:r>
              <w:rPr>
                <w:sz w:val="23"/>
                <w:szCs w:val="23"/>
              </w:rPr>
              <w:t xml:space="preserve">Combined footprint for full Fluidized Reactor System including the stand </w:t>
            </w:r>
            <w:r w:rsidRPr="0020256B">
              <w:rPr>
                <w:sz w:val="23"/>
                <w:szCs w:val="23"/>
              </w:rPr>
              <w:t xml:space="preserve">should be </w:t>
            </w:r>
            <w:r>
              <w:rPr>
                <w:sz w:val="23"/>
                <w:szCs w:val="23"/>
              </w:rPr>
              <w:t xml:space="preserve">less than 750 mm (W) x 650 mm (D) and 650 (H) for the bench top part of the instrument and for the 650 mm (W) x 650 mm (D) and 650 (H) under bench. Supplier </w:t>
            </w:r>
            <w:r w:rsidRPr="0020256B">
              <w:rPr>
                <w:sz w:val="23"/>
                <w:szCs w:val="23"/>
              </w:rPr>
              <w:t xml:space="preserve">must provide layout sketch </w:t>
            </w:r>
            <w:r>
              <w:rPr>
                <w:sz w:val="23"/>
                <w:szCs w:val="23"/>
              </w:rPr>
              <w:t xml:space="preserve">indicating all dimensions of units. Supplier should provide layout sketch for the mounting system. </w:t>
            </w:r>
          </w:p>
          <w:p w:rsidR="0020256B" w:rsidRDefault="0020256B">
            <w:pPr>
              <w:pStyle w:val="Default"/>
              <w:rPr>
                <w:sz w:val="23"/>
                <w:szCs w:val="23"/>
              </w:rPr>
            </w:pPr>
            <w:r>
              <w:rPr>
                <w:sz w:val="23"/>
                <w:szCs w:val="23"/>
              </w:rPr>
              <w:t xml:space="preserve">The drawings of the instrument layout should be prepared using space criteria described in attachments </w:t>
            </w:r>
            <w:r w:rsidRPr="0020256B">
              <w:rPr>
                <w:sz w:val="23"/>
                <w:szCs w:val="23"/>
              </w:rPr>
              <w:t xml:space="preserve">Space for instrument installation </w:t>
            </w:r>
            <w:r>
              <w:rPr>
                <w:sz w:val="23"/>
                <w:szCs w:val="23"/>
              </w:rPr>
              <w:t xml:space="preserve">and </w:t>
            </w:r>
            <w:r w:rsidRPr="0020256B">
              <w:rPr>
                <w:sz w:val="23"/>
                <w:szCs w:val="23"/>
              </w:rPr>
              <w:t xml:space="preserve">Details of Space for instrument installation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2 </w:t>
            </w:r>
          </w:p>
        </w:tc>
        <w:tc>
          <w:tcPr>
            <w:tcW w:w="2837" w:type="dxa"/>
            <w:tcBorders>
              <w:bottom w:val="nil"/>
              <w:right w:val="nil"/>
            </w:tcBorders>
          </w:tcPr>
          <w:p w:rsidR="0020256B" w:rsidRDefault="0020256B">
            <w:pPr>
              <w:pStyle w:val="Default"/>
              <w:rPr>
                <w:sz w:val="23"/>
                <w:szCs w:val="23"/>
              </w:rPr>
            </w:pPr>
            <w:r>
              <w:rPr>
                <w:sz w:val="23"/>
                <w:szCs w:val="23"/>
              </w:rPr>
              <w:t xml:space="preserve">Total weight for the system &lt; 100 kg /m2 of the </w:t>
            </w:r>
            <w:r>
              <w:rPr>
                <w:sz w:val="23"/>
                <w:szCs w:val="23"/>
              </w:rPr>
              <w:lastRenderedPageBreak/>
              <w:t xml:space="preserve">available space as per attachment </w:t>
            </w:r>
            <w:r w:rsidRPr="0020256B">
              <w:rPr>
                <w:sz w:val="23"/>
                <w:szCs w:val="23"/>
              </w:rPr>
              <w:t xml:space="preserve">Space for instrument installation </w:t>
            </w:r>
            <w:r>
              <w:rPr>
                <w:sz w:val="23"/>
                <w:szCs w:val="23"/>
              </w:rPr>
              <w:t xml:space="preserve">and </w:t>
            </w:r>
            <w:r w:rsidRPr="0020256B">
              <w:rPr>
                <w:sz w:val="23"/>
                <w:szCs w:val="23"/>
              </w:rPr>
              <w:t xml:space="preserve">Details of Space for instrument installation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lastRenderedPageBreak/>
              <w:t xml:space="preserve">3 </w:t>
            </w:r>
          </w:p>
        </w:tc>
        <w:tc>
          <w:tcPr>
            <w:tcW w:w="2837" w:type="dxa"/>
            <w:tcBorders>
              <w:bottom w:val="nil"/>
              <w:right w:val="nil"/>
            </w:tcBorders>
          </w:tcPr>
          <w:p w:rsidR="0020256B" w:rsidRDefault="0020256B">
            <w:pPr>
              <w:pStyle w:val="Default"/>
              <w:rPr>
                <w:sz w:val="23"/>
                <w:szCs w:val="23"/>
              </w:rPr>
            </w:pPr>
            <w:r>
              <w:rPr>
                <w:sz w:val="23"/>
                <w:szCs w:val="23"/>
              </w:rPr>
              <w:t xml:space="preserve">All units 220-240 V and 50 Hz power supply, G plug-type and no more than 60 A.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sidRPr="0020256B">
              <w:rPr>
                <w:sz w:val="23"/>
                <w:szCs w:val="23"/>
              </w:rPr>
              <w:t xml:space="preserve">Supply Inclusions (must be included in the main technical offer) Item </w:t>
            </w:r>
          </w:p>
        </w:tc>
        <w:tc>
          <w:tcPr>
            <w:tcW w:w="2837" w:type="dxa"/>
            <w:tcBorders>
              <w:bottom w:val="nil"/>
              <w:right w:val="nil"/>
            </w:tcBorders>
          </w:tcPr>
          <w:p w:rsidR="0020256B" w:rsidRDefault="0020256B">
            <w:pPr>
              <w:pStyle w:val="Default"/>
              <w:rPr>
                <w:sz w:val="23"/>
                <w:szCs w:val="23"/>
              </w:rPr>
            </w:pPr>
            <w:r w:rsidRPr="0020256B">
              <w:rPr>
                <w:sz w:val="23"/>
                <w:szCs w:val="23"/>
              </w:rPr>
              <w:t xml:space="preserve">Compliance statement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1 </w:t>
            </w:r>
          </w:p>
        </w:tc>
        <w:tc>
          <w:tcPr>
            <w:tcW w:w="2837" w:type="dxa"/>
            <w:tcBorders>
              <w:bottom w:val="nil"/>
              <w:right w:val="nil"/>
            </w:tcBorders>
          </w:tcPr>
          <w:p w:rsidR="0020256B" w:rsidRDefault="0020256B">
            <w:pPr>
              <w:pStyle w:val="Default"/>
              <w:rPr>
                <w:sz w:val="23"/>
                <w:szCs w:val="23"/>
              </w:rPr>
            </w:pPr>
            <w:r>
              <w:rPr>
                <w:sz w:val="23"/>
                <w:szCs w:val="23"/>
              </w:rPr>
              <w:t xml:space="preserve">Delivery, installation and commissioning (including performance verification)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2 </w:t>
            </w:r>
          </w:p>
        </w:tc>
        <w:tc>
          <w:tcPr>
            <w:tcW w:w="2837" w:type="dxa"/>
            <w:tcBorders>
              <w:bottom w:val="nil"/>
              <w:right w:val="nil"/>
            </w:tcBorders>
          </w:tcPr>
          <w:p w:rsidR="0020256B" w:rsidRDefault="0020256B">
            <w:pPr>
              <w:pStyle w:val="Default"/>
              <w:rPr>
                <w:sz w:val="23"/>
                <w:szCs w:val="23"/>
              </w:rPr>
            </w:pPr>
            <w:r>
              <w:rPr>
                <w:sz w:val="23"/>
                <w:szCs w:val="23"/>
              </w:rPr>
              <w:t xml:space="preserve">Onsite training (post installation)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2a </w:t>
            </w:r>
          </w:p>
        </w:tc>
        <w:tc>
          <w:tcPr>
            <w:tcW w:w="2837" w:type="dxa"/>
            <w:tcBorders>
              <w:bottom w:val="nil"/>
              <w:right w:val="nil"/>
            </w:tcBorders>
          </w:tcPr>
          <w:p w:rsidR="0020256B" w:rsidRDefault="0020256B">
            <w:pPr>
              <w:pStyle w:val="Default"/>
              <w:rPr>
                <w:sz w:val="23"/>
                <w:szCs w:val="23"/>
              </w:rPr>
            </w:pPr>
            <w:r>
              <w:rPr>
                <w:sz w:val="23"/>
                <w:szCs w:val="23"/>
              </w:rPr>
              <w:t xml:space="preserve">Delivery – less than or equal to 150 days from award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3 </w:t>
            </w:r>
          </w:p>
        </w:tc>
        <w:tc>
          <w:tcPr>
            <w:tcW w:w="2837" w:type="dxa"/>
            <w:tcBorders>
              <w:bottom w:val="nil"/>
              <w:right w:val="nil"/>
            </w:tcBorders>
          </w:tcPr>
          <w:p w:rsidR="0020256B" w:rsidRDefault="0020256B">
            <w:pPr>
              <w:pStyle w:val="Default"/>
              <w:rPr>
                <w:sz w:val="23"/>
                <w:szCs w:val="23"/>
              </w:rPr>
            </w:pPr>
            <w:r>
              <w:rPr>
                <w:sz w:val="23"/>
                <w:szCs w:val="23"/>
              </w:rPr>
              <w:t xml:space="preserve">Warranty, minimum 3 year with </w:t>
            </w:r>
          </w:p>
        </w:tc>
      </w:tr>
      <w:tr w:rsidR="0020256B" w:rsidTr="0020256B">
        <w:tblPrEx>
          <w:tblCellMar>
            <w:top w:w="0" w:type="dxa"/>
            <w:bottom w:w="0" w:type="dxa"/>
          </w:tblCellMar>
        </w:tblPrEx>
        <w:trPr>
          <w:trHeight w:val="385"/>
        </w:trPr>
        <w:tc>
          <w:tcPr>
            <w:tcW w:w="2837" w:type="dxa"/>
            <w:tcBorders>
              <w:left w:val="nil"/>
              <w:bottom w:val="nil"/>
            </w:tcBorders>
          </w:tcPr>
          <w:p w:rsidR="0020256B" w:rsidRDefault="0020256B">
            <w:pPr>
              <w:pStyle w:val="Default"/>
              <w:rPr>
                <w:sz w:val="23"/>
                <w:szCs w:val="23"/>
              </w:rPr>
            </w:pPr>
            <w:r>
              <w:rPr>
                <w:sz w:val="23"/>
                <w:szCs w:val="23"/>
              </w:rPr>
              <w:t xml:space="preserve">4 </w:t>
            </w:r>
          </w:p>
        </w:tc>
        <w:tc>
          <w:tcPr>
            <w:tcW w:w="2837" w:type="dxa"/>
            <w:tcBorders>
              <w:bottom w:val="nil"/>
              <w:right w:val="nil"/>
            </w:tcBorders>
          </w:tcPr>
          <w:p w:rsidR="0020256B" w:rsidRDefault="0020256B">
            <w:pPr>
              <w:pStyle w:val="Default"/>
              <w:rPr>
                <w:sz w:val="23"/>
                <w:szCs w:val="23"/>
              </w:rPr>
            </w:pPr>
            <w:r>
              <w:rPr>
                <w:sz w:val="23"/>
                <w:szCs w:val="23"/>
              </w:rPr>
              <w:t xml:space="preserve">Supplier engineer must agree to be involved in SOP preparation </w:t>
            </w:r>
          </w:p>
        </w:tc>
      </w:tr>
    </w:tbl>
    <w:p w:rsidR="0020256B" w:rsidRDefault="0020256B" w:rsidP="0020256B"/>
    <w:p w:rsidR="0020256B" w:rsidRDefault="0020256B" w:rsidP="0020256B">
      <w:bookmarkStart w:id="0" w:name="_GoBack"/>
      <w:bookmarkEnd w:id="0"/>
    </w:p>
    <w:sectPr w:rsidR="0020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97"/>
    <w:rsid w:val="00151397"/>
    <w:rsid w:val="0020256B"/>
    <w:rsid w:val="00C11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C934A-7145-4C44-98C6-B3B1A391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hassan</dc:creator>
  <cp:keywords/>
  <dc:description/>
  <cp:lastModifiedBy>abid hassan</cp:lastModifiedBy>
  <cp:revision>2</cp:revision>
  <dcterms:created xsi:type="dcterms:W3CDTF">2018-04-26T10:38:00Z</dcterms:created>
  <dcterms:modified xsi:type="dcterms:W3CDTF">2018-04-26T10:53:00Z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1640994141</vt:i4>
  </property>
  <property fmtid="{D5CDD505-2E9C-101B-9397-08002B2CF9AE}" pid="3" name="_NewReviewCycle">
    <vt:lpwstr/>
  </property>
  <property fmtid="{D5CDD505-2E9C-101B-9397-08002B2CF9AE}" pid="4" name="_EmailSubject">
    <vt:lpwstr>enquiry </vt:lpwstr>
  </property>
  <property fmtid="{D5CDD505-2E9C-101B-9397-08002B2CF9AE}" pid="5" name="_AuthorEmail">
    <vt:lpwstr>info@gasateng.com</vt:lpwstr>
  </property>
  <property fmtid="{D5CDD505-2E9C-101B-9397-08002B2CF9AE}" pid="6" name="_AuthorEmailDisplayName">
    <vt:lpwstr>info@gasateng.com</vt:lpwstr>
  </property>
  <property fmtid="{D5CDD505-2E9C-101B-9397-08002B2CF9AE}" pid="7" name="_PreviousAdHocReviewCycleID">
    <vt:i4>1640994141</vt:i4>
  </property>
</Properties>
</file>