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40" w:rsidRDefault="00DF320B">
      <w:pPr>
        <w:rPr>
          <w:rFonts w:ascii="Times New Roman" w:hAnsi="Times New Roman" w:cs="Times New Roman"/>
          <w:b/>
          <w:sz w:val="32"/>
          <w:szCs w:val="32"/>
        </w:rPr>
      </w:pPr>
      <w:r w:rsidRPr="00AE03A9">
        <w:rPr>
          <w:rFonts w:ascii="Times New Roman" w:hAnsi="Times New Roman" w:cs="Times New Roman"/>
          <w:b/>
          <w:sz w:val="32"/>
          <w:szCs w:val="32"/>
        </w:rPr>
        <w:t>W</w:t>
      </w:r>
      <w:r w:rsidR="009B3B6E">
        <w:rPr>
          <w:rFonts w:ascii="Times New Roman" w:hAnsi="Times New Roman" w:cs="Times New Roman"/>
          <w:b/>
          <w:sz w:val="32"/>
          <w:szCs w:val="32"/>
        </w:rPr>
        <w:t xml:space="preserve">orld </w:t>
      </w:r>
      <w:r w:rsidRPr="00AE03A9">
        <w:rPr>
          <w:rFonts w:ascii="Times New Roman" w:hAnsi="Times New Roman" w:cs="Times New Roman"/>
          <w:b/>
          <w:sz w:val="32"/>
          <w:szCs w:val="32"/>
        </w:rPr>
        <w:t>H</w:t>
      </w:r>
      <w:r w:rsidR="009B3B6E">
        <w:rPr>
          <w:rFonts w:ascii="Times New Roman" w:hAnsi="Times New Roman" w:cs="Times New Roman"/>
          <w:b/>
          <w:sz w:val="32"/>
          <w:szCs w:val="32"/>
        </w:rPr>
        <w:t xml:space="preserve">ealth </w:t>
      </w:r>
      <w:r w:rsidRPr="00AE03A9">
        <w:rPr>
          <w:rFonts w:ascii="Times New Roman" w:hAnsi="Times New Roman" w:cs="Times New Roman"/>
          <w:b/>
          <w:sz w:val="32"/>
          <w:szCs w:val="32"/>
        </w:rPr>
        <w:t>O</w:t>
      </w:r>
      <w:r w:rsidR="009B3B6E">
        <w:rPr>
          <w:rFonts w:ascii="Times New Roman" w:hAnsi="Times New Roman" w:cs="Times New Roman"/>
          <w:b/>
          <w:sz w:val="32"/>
          <w:szCs w:val="32"/>
        </w:rPr>
        <w:t>rganization</w:t>
      </w:r>
    </w:p>
    <w:p w:rsidR="0039641D" w:rsidRDefault="00DF320B">
      <w:pPr>
        <w:rPr>
          <w:rFonts w:ascii="Times New Roman" w:hAnsi="Times New Roman" w:cs="Times New Roman"/>
          <w:b/>
          <w:sz w:val="32"/>
          <w:szCs w:val="32"/>
        </w:rPr>
      </w:pPr>
      <w:r w:rsidRPr="00AE03A9">
        <w:rPr>
          <w:rFonts w:ascii="Times New Roman" w:hAnsi="Times New Roman" w:cs="Times New Roman"/>
          <w:b/>
          <w:sz w:val="32"/>
          <w:szCs w:val="32"/>
        </w:rPr>
        <w:t xml:space="preserve"> INDOOR AIR QUALITY GUIDELINES: HOUSEHOLD FUEL COMBUSTION 2014</w:t>
      </w:r>
    </w:p>
    <w:p w:rsidR="00DE09B4" w:rsidRDefault="009B3B6E">
      <w:pPr>
        <w:rPr>
          <w:rFonts w:ascii="Times New Roman" w:hAnsi="Times New Roman" w:cs="Times New Roman"/>
          <w:b/>
          <w:sz w:val="32"/>
          <w:szCs w:val="32"/>
        </w:rPr>
      </w:pPr>
      <w:r>
        <w:rPr>
          <w:rFonts w:ascii="Times New Roman" w:hAnsi="Times New Roman" w:cs="Times New Roman"/>
          <w:b/>
          <w:sz w:val="32"/>
          <w:szCs w:val="32"/>
        </w:rPr>
        <w:t>A “Cut and Paste”</w:t>
      </w:r>
      <w:r w:rsidR="00DE09B4">
        <w:rPr>
          <w:rFonts w:ascii="Times New Roman" w:hAnsi="Times New Roman" w:cs="Times New Roman"/>
          <w:b/>
          <w:sz w:val="32"/>
          <w:szCs w:val="32"/>
        </w:rPr>
        <w:t xml:space="preserve"> Summary </w:t>
      </w:r>
    </w:p>
    <w:p w:rsidR="00DE09B4" w:rsidRDefault="00DE09B4">
      <w:pPr>
        <w:rPr>
          <w:rFonts w:ascii="Times New Roman" w:hAnsi="Times New Roman" w:cs="Times New Roman"/>
          <w:b/>
          <w:sz w:val="28"/>
          <w:szCs w:val="28"/>
        </w:rPr>
      </w:pPr>
      <w:r>
        <w:rPr>
          <w:rFonts w:ascii="Times New Roman" w:hAnsi="Times New Roman" w:cs="Times New Roman"/>
          <w:b/>
          <w:sz w:val="28"/>
          <w:szCs w:val="28"/>
        </w:rPr>
        <w:t>Dean Still</w:t>
      </w:r>
    </w:p>
    <w:p w:rsidR="00DE09B4" w:rsidRDefault="00DE09B4">
      <w:pPr>
        <w:rPr>
          <w:rFonts w:ascii="Times New Roman" w:hAnsi="Times New Roman" w:cs="Times New Roman"/>
          <w:b/>
          <w:sz w:val="28"/>
          <w:szCs w:val="28"/>
        </w:rPr>
      </w:pPr>
      <w:proofErr w:type="spellStart"/>
      <w:r w:rsidRPr="00DE09B4">
        <w:rPr>
          <w:rFonts w:ascii="Times New Roman" w:hAnsi="Times New Roman" w:cs="Times New Roman"/>
          <w:b/>
          <w:sz w:val="28"/>
          <w:szCs w:val="28"/>
        </w:rPr>
        <w:t>Aprovecho</w:t>
      </w:r>
      <w:proofErr w:type="spellEnd"/>
      <w:r w:rsidRPr="00DE09B4">
        <w:rPr>
          <w:rFonts w:ascii="Times New Roman" w:hAnsi="Times New Roman" w:cs="Times New Roman"/>
          <w:b/>
          <w:sz w:val="28"/>
          <w:szCs w:val="28"/>
        </w:rPr>
        <w:t xml:space="preserve"> Research Center</w:t>
      </w:r>
    </w:p>
    <w:p w:rsidR="009B3B6E" w:rsidRDefault="009B3B6E">
      <w:pPr>
        <w:rPr>
          <w:rFonts w:ascii="Times New Roman" w:hAnsi="Times New Roman" w:cs="Times New Roman"/>
          <w:b/>
          <w:sz w:val="28"/>
          <w:szCs w:val="28"/>
        </w:rPr>
      </w:pPr>
    </w:p>
    <w:p w:rsidR="009B3B6E" w:rsidRPr="009B3B6E" w:rsidRDefault="009B3B6E">
      <w:pPr>
        <w:rPr>
          <w:rFonts w:ascii="Times New Roman" w:hAnsi="Times New Roman" w:cs="Times New Roman"/>
          <w:b/>
          <w:sz w:val="24"/>
          <w:szCs w:val="24"/>
        </w:rPr>
      </w:pPr>
      <w:r w:rsidRPr="009B3B6E">
        <w:rPr>
          <w:rFonts w:ascii="Times New Roman" w:hAnsi="Times New Roman" w:cs="Times New Roman"/>
          <w:b/>
          <w:sz w:val="24"/>
          <w:szCs w:val="24"/>
        </w:rPr>
        <w:t xml:space="preserve">PM levels </w:t>
      </w:r>
      <w:r w:rsidR="00E86340">
        <w:rPr>
          <w:rFonts w:ascii="Times New Roman" w:hAnsi="Times New Roman" w:cs="Times New Roman"/>
          <w:b/>
          <w:sz w:val="24"/>
          <w:szCs w:val="24"/>
        </w:rPr>
        <w:t xml:space="preserve">have to be </w:t>
      </w:r>
      <w:r w:rsidRPr="009B3B6E">
        <w:rPr>
          <w:rFonts w:ascii="Times New Roman" w:hAnsi="Times New Roman" w:cs="Times New Roman"/>
          <w:b/>
          <w:sz w:val="24"/>
          <w:szCs w:val="24"/>
        </w:rPr>
        <w:t>very low to protect health</w:t>
      </w:r>
    </w:p>
    <w:p w:rsidR="00DF320B" w:rsidRPr="00DE09B4" w:rsidRDefault="00DF320B" w:rsidP="00AC3B33">
      <w:pPr>
        <w:pStyle w:val="ListParagraph"/>
        <w:numPr>
          <w:ilvl w:val="0"/>
          <w:numId w:val="2"/>
        </w:num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Among the key findings is that for several important health outcomes, including child acute respiratory infections, exposure to the key pollutant– fine particulate matter, or PM2.5 – needs to be brought down to low levels in order to gain most of the health benefit. The other main finding is that most of the solid fuel interventions promoted in recent years have not even come close to these levels when in everyday use, and there is a need for much more emphasis on accelerating access to clean household fuels. (</w:t>
      </w:r>
      <w:r w:rsidR="00EF48F6" w:rsidRPr="00DE09B4">
        <w:rPr>
          <w:rFonts w:ascii="MinionPro-Regular" w:hAnsi="MinionPro-Regular" w:cs="MinionPro-Regular"/>
          <w:sz w:val="24"/>
          <w:szCs w:val="24"/>
        </w:rPr>
        <w:t xml:space="preserve"> pg. </w:t>
      </w:r>
      <w:r w:rsidRPr="00DE09B4">
        <w:rPr>
          <w:rFonts w:ascii="MinionPro-Regular" w:hAnsi="MinionPro-Regular" w:cs="MinionPro-Regular"/>
          <w:sz w:val="24"/>
          <w:szCs w:val="24"/>
        </w:rPr>
        <w:t>XIV)</w:t>
      </w:r>
    </w:p>
    <w:p w:rsidR="00EF48F6" w:rsidRDefault="00EF48F6" w:rsidP="00DF320B">
      <w:pPr>
        <w:autoSpaceDE w:val="0"/>
        <w:autoSpaceDN w:val="0"/>
        <w:adjustRightInd w:val="0"/>
        <w:spacing w:after="0" w:line="240" w:lineRule="auto"/>
        <w:rPr>
          <w:rFonts w:ascii="MinionPro-Regular" w:hAnsi="MinionPro-Regular" w:cs="MinionPro-Regular"/>
          <w:sz w:val="24"/>
          <w:szCs w:val="24"/>
        </w:rPr>
      </w:pPr>
    </w:p>
    <w:p w:rsidR="009B3B6E" w:rsidRPr="009B3B6E" w:rsidRDefault="009B3B6E" w:rsidP="00DF320B">
      <w:pPr>
        <w:autoSpaceDE w:val="0"/>
        <w:autoSpaceDN w:val="0"/>
        <w:adjustRightInd w:val="0"/>
        <w:spacing w:after="0" w:line="240" w:lineRule="auto"/>
        <w:rPr>
          <w:rFonts w:ascii="MinionPro-Regular" w:hAnsi="MinionPro-Regular" w:cs="MinionPro-Regular"/>
          <w:b/>
          <w:sz w:val="24"/>
          <w:szCs w:val="24"/>
        </w:rPr>
      </w:pPr>
      <w:r w:rsidRPr="009B3B6E">
        <w:rPr>
          <w:rFonts w:ascii="MinionPro-Regular" w:hAnsi="MinionPro-Regular" w:cs="MinionPro-Regular"/>
          <w:b/>
          <w:sz w:val="24"/>
          <w:szCs w:val="24"/>
        </w:rPr>
        <w:t>Avoid the use of coal</w:t>
      </w:r>
      <w:r w:rsidR="00E86340">
        <w:rPr>
          <w:rFonts w:ascii="MinionPro-Regular" w:hAnsi="MinionPro-Regular" w:cs="MinionPro-Regular"/>
          <w:b/>
          <w:sz w:val="24"/>
          <w:szCs w:val="24"/>
        </w:rPr>
        <w:t xml:space="preserve"> and kerosene</w:t>
      </w:r>
    </w:p>
    <w:p w:rsidR="009B3B6E" w:rsidRPr="00DE09B4" w:rsidRDefault="009B3B6E" w:rsidP="00DF320B">
      <w:pPr>
        <w:autoSpaceDE w:val="0"/>
        <w:autoSpaceDN w:val="0"/>
        <w:adjustRightInd w:val="0"/>
        <w:spacing w:after="0" w:line="240" w:lineRule="auto"/>
        <w:rPr>
          <w:rFonts w:ascii="MinionPro-Regular" w:hAnsi="MinionPro-Regular" w:cs="MinionPro-Regular"/>
          <w:sz w:val="24"/>
          <w:szCs w:val="24"/>
        </w:rPr>
      </w:pPr>
    </w:p>
    <w:p w:rsidR="00EF48F6" w:rsidRDefault="00EF48F6" w:rsidP="00EF48F6">
      <w:pPr>
        <w:pStyle w:val="ListParagraph"/>
        <w:numPr>
          <w:ilvl w:val="0"/>
          <w:numId w:val="2"/>
        </w:num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The need to avoid the use of unprocessed coal as a household fuel, in light of the specific health risks.</w:t>
      </w:r>
      <w:r w:rsidR="00AE03A9" w:rsidRPr="00DE09B4">
        <w:rPr>
          <w:rFonts w:ascii="MinionPro-Regular" w:hAnsi="MinionPro-Regular" w:cs="MinionPro-Regular"/>
          <w:sz w:val="24"/>
          <w:szCs w:val="24"/>
        </w:rPr>
        <w:t xml:space="preserve"> </w:t>
      </w:r>
      <w:r w:rsidRPr="00DE09B4">
        <w:rPr>
          <w:rFonts w:ascii="MinionPro-Regular" w:hAnsi="MinionPro-Regular" w:cs="MinionPro-Regular"/>
          <w:sz w:val="24"/>
          <w:szCs w:val="24"/>
        </w:rPr>
        <w:t>The need to avoid the use of kerosene as a household fuel, in light of concerns about emissions and safety. (pg. XV)</w:t>
      </w:r>
    </w:p>
    <w:p w:rsidR="009B3B6E" w:rsidRPr="00DE09B4" w:rsidRDefault="009B3B6E" w:rsidP="009B3B6E">
      <w:pPr>
        <w:pStyle w:val="ListParagraph"/>
        <w:autoSpaceDE w:val="0"/>
        <w:autoSpaceDN w:val="0"/>
        <w:adjustRightInd w:val="0"/>
        <w:spacing w:after="0" w:line="240" w:lineRule="auto"/>
        <w:rPr>
          <w:rFonts w:ascii="MinionPro-Regular" w:hAnsi="MinionPro-Regular" w:cs="MinionPro-Regular"/>
          <w:sz w:val="24"/>
          <w:szCs w:val="24"/>
        </w:rPr>
      </w:pPr>
    </w:p>
    <w:p w:rsidR="00EF48F6" w:rsidRPr="009B3B6E" w:rsidRDefault="00E86340" w:rsidP="00EF48F6">
      <w:pPr>
        <w:autoSpaceDE w:val="0"/>
        <w:autoSpaceDN w:val="0"/>
        <w:adjustRightInd w:val="0"/>
        <w:spacing w:after="0" w:line="240" w:lineRule="auto"/>
        <w:rPr>
          <w:rFonts w:ascii="MinionPro-Regular" w:hAnsi="MinionPro-Regular" w:cs="MinionPro-Regular"/>
          <w:b/>
          <w:sz w:val="24"/>
          <w:szCs w:val="24"/>
        </w:rPr>
      </w:pPr>
      <w:r>
        <w:rPr>
          <w:rFonts w:ascii="MinionPro-Regular" w:hAnsi="MinionPro-Regular" w:cs="MinionPro-Regular"/>
          <w:b/>
          <w:sz w:val="24"/>
          <w:szCs w:val="24"/>
        </w:rPr>
        <w:t xml:space="preserve">4.3 million </w:t>
      </w:r>
      <w:proofErr w:type="gramStart"/>
      <w:r>
        <w:rPr>
          <w:rFonts w:ascii="MinionPro-Regular" w:hAnsi="MinionPro-Regular" w:cs="MinionPro-Regular"/>
          <w:b/>
          <w:sz w:val="24"/>
          <w:szCs w:val="24"/>
        </w:rPr>
        <w:t>deaths</w:t>
      </w:r>
      <w:proofErr w:type="gramEnd"/>
      <w:r>
        <w:rPr>
          <w:rFonts w:ascii="MinionPro-Regular" w:hAnsi="MinionPro-Regular" w:cs="MinionPro-Regular"/>
          <w:b/>
          <w:sz w:val="24"/>
          <w:szCs w:val="24"/>
        </w:rPr>
        <w:t xml:space="preserve"> </w:t>
      </w:r>
      <w:r w:rsidR="009B3B6E">
        <w:rPr>
          <w:rFonts w:ascii="MinionPro-Regular" w:hAnsi="MinionPro-Regular" w:cs="MinionPro-Regular"/>
          <w:b/>
          <w:sz w:val="24"/>
          <w:szCs w:val="24"/>
        </w:rPr>
        <w:t>(indoor pollution)</w:t>
      </w:r>
    </w:p>
    <w:p w:rsidR="009B3B6E" w:rsidRPr="00DE09B4" w:rsidRDefault="009B3B6E" w:rsidP="00EF48F6">
      <w:pPr>
        <w:autoSpaceDE w:val="0"/>
        <w:autoSpaceDN w:val="0"/>
        <w:adjustRightInd w:val="0"/>
        <w:spacing w:after="0" w:line="240" w:lineRule="auto"/>
        <w:rPr>
          <w:rFonts w:ascii="MinionPro-Regular" w:hAnsi="MinionPro-Regular" w:cs="MinionPro-Regular"/>
          <w:sz w:val="24"/>
          <w:szCs w:val="24"/>
        </w:rPr>
      </w:pPr>
    </w:p>
    <w:p w:rsidR="00EF48F6" w:rsidRDefault="00FE5B5C" w:rsidP="00AC3B33">
      <w:pPr>
        <w:pStyle w:val="ListParagraph"/>
        <w:numPr>
          <w:ilvl w:val="0"/>
          <w:numId w:val="2"/>
        </w:num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 xml:space="preserve">Global burden of disease </w:t>
      </w:r>
      <w:r w:rsidR="00EF48F6" w:rsidRPr="00DE09B4">
        <w:rPr>
          <w:rFonts w:ascii="MinionPro-Regular" w:hAnsi="MinionPro-Regular" w:cs="MinionPro-Regular"/>
          <w:sz w:val="24"/>
          <w:szCs w:val="24"/>
        </w:rPr>
        <w:t>estimates have found that exposure to HAP from cook</w:t>
      </w:r>
      <w:r w:rsidRPr="00DE09B4">
        <w:rPr>
          <w:rFonts w:ascii="MinionPro-Regular" w:hAnsi="MinionPro-Regular" w:cs="MinionPro-Regular"/>
          <w:sz w:val="24"/>
          <w:szCs w:val="24"/>
        </w:rPr>
        <w:t xml:space="preserve">ing results in around 4 million </w:t>
      </w:r>
      <w:r w:rsidR="00EF48F6" w:rsidRPr="00DE09B4">
        <w:rPr>
          <w:rFonts w:ascii="MinionPro-Regular" w:hAnsi="MinionPro-Regular" w:cs="MinionPro-Regular"/>
          <w:sz w:val="24"/>
          <w:szCs w:val="24"/>
        </w:rPr>
        <w:t xml:space="preserve">premature deaths </w:t>
      </w:r>
      <w:r w:rsidR="00EF48F6" w:rsidRPr="00DE09B4">
        <w:rPr>
          <w:rFonts w:ascii="MinionPro-It" w:hAnsi="MinionPro-It" w:cs="MinionPro-It"/>
          <w:i/>
          <w:iCs/>
          <w:sz w:val="24"/>
          <w:szCs w:val="24"/>
        </w:rPr>
        <w:t>(2,3)</w:t>
      </w:r>
      <w:r w:rsidR="00EF48F6" w:rsidRPr="00DE09B4">
        <w:rPr>
          <w:rFonts w:ascii="MinionPro-Regular" w:hAnsi="MinionPro-Regular" w:cs="MinionPro-Regular"/>
          <w:sz w:val="24"/>
          <w:szCs w:val="24"/>
        </w:rPr>
        <w:t>, with the most rece</w:t>
      </w:r>
      <w:r w:rsidRPr="00DE09B4">
        <w:rPr>
          <w:rFonts w:ascii="MinionPro-Regular" w:hAnsi="MinionPro-Regular" w:cs="MinionPro-Regular"/>
          <w:sz w:val="24"/>
          <w:szCs w:val="24"/>
        </w:rPr>
        <w:t xml:space="preserve">nt estimates from WHO reporting </w:t>
      </w:r>
      <w:r w:rsidR="00EF48F6" w:rsidRPr="00DE09B4">
        <w:rPr>
          <w:rFonts w:ascii="MinionPro-Regular" w:hAnsi="MinionPro-Regular" w:cs="MinionPro-Regular"/>
          <w:sz w:val="24"/>
          <w:szCs w:val="24"/>
        </w:rPr>
        <w:t xml:space="preserve">4.3 million deaths for 2012. </w:t>
      </w:r>
      <w:r w:rsidR="00EF48F6" w:rsidRPr="00DE09B4">
        <w:rPr>
          <w:rFonts w:ascii="MinionPro-It" w:hAnsi="MinionPro-It" w:cs="MinionPro-It"/>
          <w:i/>
          <w:iCs/>
          <w:sz w:val="24"/>
          <w:szCs w:val="24"/>
        </w:rPr>
        <w:t>(4)</w:t>
      </w:r>
      <w:r w:rsidR="00EF48F6" w:rsidRPr="00DE09B4">
        <w:rPr>
          <w:rFonts w:ascii="MinionPro-Regular" w:hAnsi="MinionPro-Regular" w:cs="MinionPro-Regular"/>
          <w:sz w:val="24"/>
          <w:szCs w:val="24"/>
        </w:rPr>
        <w:t>. HAP is responsible for n</w:t>
      </w:r>
      <w:r w:rsidRPr="00DE09B4">
        <w:rPr>
          <w:rFonts w:ascii="MinionPro-Regular" w:hAnsi="MinionPro-Regular" w:cs="MinionPro-Regular"/>
          <w:sz w:val="24"/>
          <w:szCs w:val="24"/>
        </w:rPr>
        <w:t xml:space="preserve">early 5% of the global </w:t>
      </w:r>
      <w:r w:rsidR="00EF48F6" w:rsidRPr="00DE09B4">
        <w:rPr>
          <w:rFonts w:ascii="MinionPro-Regular" w:hAnsi="MinionPro-Regular" w:cs="MinionPro-Regular"/>
          <w:sz w:val="24"/>
          <w:szCs w:val="24"/>
        </w:rPr>
        <w:t>disease burden (expressed as disability-adjusted</w:t>
      </w:r>
      <w:r w:rsidRPr="00DE09B4">
        <w:rPr>
          <w:rFonts w:ascii="MinionPro-Regular" w:hAnsi="MinionPro-Regular" w:cs="MinionPro-Regular"/>
          <w:sz w:val="24"/>
          <w:szCs w:val="24"/>
        </w:rPr>
        <w:t xml:space="preserve"> life-years (DALYs)), making it </w:t>
      </w:r>
      <w:r w:rsidR="00EF48F6" w:rsidRPr="00DE09B4">
        <w:rPr>
          <w:rFonts w:ascii="MinionPro-Regular" w:hAnsi="MinionPro-Regular" w:cs="MinionPro-Regular"/>
          <w:sz w:val="24"/>
          <w:szCs w:val="24"/>
        </w:rPr>
        <w:t xml:space="preserve">globally the single most important environmental risk factor </w:t>
      </w:r>
      <w:r w:rsidR="00EF48F6" w:rsidRPr="00DE09B4">
        <w:rPr>
          <w:rFonts w:ascii="MinionPro-It" w:hAnsi="MinionPro-It" w:cs="MinionPro-It"/>
          <w:i/>
          <w:iCs/>
          <w:sz w:val="24"/>
          <w:szCs w:val="24"/>
        </w:rPr>
        <w:t>(3)</w:t>
      </w:r>
      <w:r w:rsidR="00EF48F6" w:rsidRPr="00DE09B4">
        <w:rPr>
          <w:rFonts w:ascii="MinionPro-Regular" w:hAnsi="MinionPro-Regular" w:cs="MinionPro-Regular"/>
          <w:sz w:val="24"/>
          <w:szCs w:val="24"/>
        </w:rPr>
        <w:t>. (pg. 1)</w:t>
      </w:r>
    </w:p>
    <w:p w:rsidR="009B3B6E" w:rsidRPr="009B3B6E" w:rsidRDefault="009B3B6E" w:rsidP="009B3B6E">
      <w:pPr>
        <w:autoSpaceDE w:val="0"/>
        <w:autoSpaceDN w:val="0"/>
        <w:adjustRightInd w:val="0"/>
        <w:spacing w:after="0" w:line="240" w:lineRule="auto"/>
        <w:rPr>
          <w:rFonts w:ascii="MinionPro-Regular" w:hAnsi="MinionPro-Regular" w:cs="MinionPro-Regular"/>
          <w:sz w:val="24"/>
          <w:szCs w:val="24"/>
        </w:rPr>
      </w:pPr>
    </w:p>
    <w:p w:rsidR="00EF48F6" w:rsidRDefault="009B3B6E" w:rsidP="00EF48F6">
      <w:pPr>
        <w:autoSpaceDE w:val="0"/>
        <w:autoSpaceDN w:val="0"/>
        <w:adjustRightInd w:val="0"/>
        <w:spacing w:after="0" w:line="240" w:lineRule="auto"/>
        <w:rPr>
          <w:rFonts w:ascii="MinionPro-Regular" w:hAnsi="MinionPro-Regular" w:cs="MinionPro-Regular"/>
          <w:b/>
          <w:sz w:val="24"/>
          <w:szCs w:val="24"/>
        </w:rPr>
      </w:pPr>
      <w:r w:rsidRPr="009B3B6E">
        <w:rPr>
          <w:rFonts w:ascii="MinionPro-Regular" w:hAnsi="MinionPro-Regular" w:cs="MinionPro-Regular"/>
          <w:b/>
          <w:sz w:val="24"/>
          <w:szCs w:val="24"/>
        </w:rPr>
        <w:t>0.4 million deaths</w:t>
      </w:r>
      <w:r>
        <w:rPr>
          <w:rFonts w:ascii="MinionPro-Regular" w:hAnsi="MinionPro-Regular" w:cs="MinionPro-Regular"/>
          <w:b/>
          <w:sz w:val="24"/>
          <w:szCs w:val="24"/>
        </w:rPr>
        <w:t xml:space="preserve"> (outdoor pollution)</w:t>
      </w:r>
    </w:p>
    <w:p w:rsidR="009B3B6E" w:rsidRPr="009B3B6E" w:rsidRDefault="009B3B6E" w:rsidP="00EF48F6">
      <w:pPr>
        <w:autoSpaceDE w:val="0"/>
        <w:autoSpaceDN w:val="0"/>
        <w:adjustRightInd w:val="0"/>
        <w:spacing w:after="0" w:line="240" w:lineRule="auto"/>
        <w:rPr>
          <w:rFonts w:ascii="MinionPro-Regular" w:hAnsi="MinionPro-Regular" w:cs="MinionPro-Regular"/>
          <w:b/>
          <w:sz w:val="24"/>
          <w:szCs w:val="24"/>
        </w:rPr>
      </w:pPr>
    </w:p>
    <w:p w:rsidR="00EF48F6" w:rsidRPr="00DE09B4" w:rsidRDefault="00EF48F6" w:rsidP="00AC3B33">
      <w:pPr>
        <w:pStyle w:val="ListParagraph"/>
        <w:numPr>
          <w:ilvl w:val="0"/>
          <w:numId w:val="2"/>
        </w:num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HAP is also a substantial contributor to outdo</w:t>
      </w:r>
      <w:r w:rsidR="00FE5B5C" w:rsidRPr="00DE09B4">
        <w:rPr>
          <w:rFonts w:ascii="MinionPro-Regular" w:hAnsi="MinionPro-Regular" w:cs="MinionPro-Regular"/>
          <w:sz w:val="24"/>
          <w:szCs w:val="24"/>
        </w:rPr>
        <w:t xml:space="preserve">or air pollution-related deaths </w:t>
      </w:r>
      <w:r w:rsidRPr="00DE09B4">
        <w:rPr>
          <w:rFonts w:ascii="MinionPro-Regular" w:hAnsi="MinionPro-Regular" w:cs="MinionPro-Regular"/>
          <w:sz w:val="24"/>
          <w:szCs w:val="24"/>
        </w:rPr>
        <w:t>due to emissions into the ambient environment, res</w:t>
      </w:r>
      <w:r w:rsidR="00FE5B5C" w:rsidRPr="00DE09B4">
        <w:rPr>
          <w:rFonts w:ascii="MinionPro-Regular" w:hAnsi="MinionPro-Regular" w:cs="MinionPro-Regular"/>
          <w:sz w:val="24"/>
          <w:szCs w:val="24"/>
        </w:rPr>
        <w:t xml:space="preserve">ponsible for around 0.4 million </w:t>
      </w:r>
      <w:r w:rsidRPr="00DE09B4">
        <w:rPr>
          <w:rFonts w:ascii="MinionPro-Regular" w:hAnsi="MinionPro-Regular" w:cs="MinionPro-Regular"/>
          <w:sz w:val="24"/>
          <w:szCs w:val="24"/>
        </w:rPr>
        <w:t xml:space="preserve">deaths (12% </w:t>
      </w:r>
      <w:proofErr w:type="gramStart"/>
      <w:r w:rsidRPr="00DE09B4">
        <w:rPr>
          <w:rFonts w:ascii="MinionPro-Regular" w:hAnsi="MinionPro-Regular" w:cs="MinionPro-Regular"/>
          <w:sz w:val="24"/>
          <w:szCs w:val="24"/>
        </w:rPr>
        <w:t>of</w:t>
      </w:r>
      <w:proofErr w:type="gramEnd"/>
      <w:r w:rsidRPr="00DE09B4">
        <w:rPr>
          <w:rFonts w:ascii="MinionPro-Regular" w:hAnsi="MinionPro-Regular" w:cs="MinionPro-Regular"/>
          <w:sz w:val="24"/>
          <w:szCs w:val="24"/>
        </w:rPr>
        <w:t xml:space="preserve"> the total from ambient air pollution (AAP)) </w:t>
      </w:r>
      <w:r w:rsidRPr="00DE09B4">
        <w:rPr>
          <w:rFonts w:ascii="MinionPro-It" w:hAnsi="MinionPro-It" w:cs="MinionPro-It"/>
          <w:i/>
          <w:iCs/>
          <w:sz w:val="24"/>
          <w:szCs w:val="24"/>
        </w:rPr>
        <w:t>(3)</w:t>
      </w:r>
      <w:r w:rsidRPr="00DE09B4">
        <w:rPr>
          <w:rFonts w:ascii="MinionPro-Regular" w:hAnsi="MinionPro-Regular" w:cs="MinionPro-Regular"/>
          <w:sz w:val="24"/>
          <w:szCs w:val="24"/>
        </w:rPr>
        <w:t>.</w:t>
      </w:r>
      <w:r w:rsidR="00FE5B5C" w:rsidRPr="00DE09B4">
        <w:rPr>
          <w:rFonts w:ascii="MinionPro-Regular" w:hAnsi="MinionPro-Regular" w:cs="MinionPro-Regular"/>
          <w:sz w:val="24"/>
          <w:szCs w:val="24"/>
        </w:rPr>
        <w:t xml:space="preserve"> (pg.1)</w:t>
      </w:r>
    </w:p>
    <w:p w:rsidR="00FE5B5C" w:rsidRPr="00DE09B4" w:rsidRDefault="00FE5B5C" w:rsidP="00EF48F6">
      <w:pPr>
        <w:autoSpaceDE w:val="0"/>
        <w:autoSpaceDN w:val="0"/>
        <w:adjustRightInd w:val="0"/>
        <w:spacing w:after="0" w:line="240" w:lineRule="auto"/>
        <w:rPr>
          <w:rFonts w:ascii="MinionPro-Regular" w:hAnsi="MinionPro-Regular" w:cs="MinionPro-Regular"/>
          <w:sz w:val="24"/>
          <w:szCs w:val="24"/>
        </w:rPr>
      </w:pPr>
    </w:p>
    <w:p w:rsidR="00FE5B5C" w:rsidRPr="00F24EA7" w:rsidRDefault="00FE5B5C" w:rsidP="00AC3B33">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24EA7">
        <w:rPr>
          <w:rFonts w:ascii="Times New Roman" w:hAnsi="Times New Roman" w:cs="Times New Roman"/>
          <w:b/>
          <w:sz w:val="24"/>
          <w:szCs w:val="24"/>
        </w:rPr>
        <w:t>Summary of published WHO air quality guideline values</w:t>
      </w:r>
      <w:r w:rsidR="00ED7523" w:rsidRPr="00F24EA7">
        <w:rPr>
          <w:rFonts w:ascii="Times New Roman" w:hAnsi="Times New Roman" w:cs="Times New Roman"/>
          <w:sz w:val="24"/>
          <w:szCs w:val="24"/>
        </w:rPr>
        <w:t xml:space="preserve"> (OUTSIDE AIR)</w:t>
      </w:r>
    </w:p>
    <w:p w:rsidR="00FE5B5C" w:rsidRPr="00F24EA7" w:rsidRDefault="00AE03A9" w:rsidP="00FE5B5C">
      <w:pPr>
        <w:autoSpaceDE w:val="0"/>
        <w:autoSpaceDN w:val="0"/>
        <w:adjustRightInd w:val="0"/>
        <w:spacing w:after="0" w:line="240" w:lineRule="auto"/>
        <w:rPr>
          <w:rFonts w:ascii="Times New Roman" w:hAnsi="Times New Roman" w:cs="Times New Roman"/>
          <w:bCs/>
          <w:sz w:val="24"/>
          <w:szCs w:val="24"/>
        </w:rPr>
      </w:pPr>
      <w:r w:rsidRPr="00F24EA7">
        <w:rPr>
          <w:rFonts w:ascii="Times New Roman" w:hAnsi="Times New Roman" w:cs="Times New Roman"/>
          <w:bCs/>
          <w:sz w:val="24"/>
          <w:szCs w:val="24"/>
        </w:rPr>
        <w:t>Pollutant PM2.5</w:t>
      </w:r>
      <w:r w:rsidR="00FE5B5C" w:rsidRPr="00F24EA7">
        <w:rPr>
          <w:rFonts w:ascii="Times New Roman" w:hAnsi="Times New Roman" w:cs="Times New Roman"/>
          <w:sz w:val="24"/>
          <w:szCs w:val="24"/>
        </w:rPr>
        <w:t xml:space="preserve"> (</w:t>
      </w:r>
      <w:proofErr w:type="spellStart"/>
      <w:r w:rsidR="00FE5B5C" w:rsidRPr="00F24EA7">
        <w:rPr>
          <w:rFonts w:ascii="Times New Roman" w:hAnsi="Times New Roman" w:cs="Times New Roman"/>
          <w:sz w:val="24"/>
          <w:szCs w:val="24"/>
        </w:rPr>
        <w:t>μg</w:t>
      </w:r>
      <w:proofErr w:type="spellEnd"/>
      <w:r w:rsidR="00FE5B5C" w:rsidRPr="00F24EA7">
        <w:rPr>
          <w:rFonts w:ascii="Times New Roman" w:hAnsi="Times New Roman" w:cs="Times New Roman"/>
          <w:sz w:val="24"/>
          <w:szCs w:val="24"/>
        </w:rPr>
        <w:t>/m3)</w:t>
      </w:r>
    </w:p>
    <w:p w:rsidR="00FE5B5C" w:rsidRPr="00F24EA7" w:rsidRDefault="00FE5B5C" w:rsidP="00FE5B5C">
      <w:pPr>
        <w:autoSpaceDE w:val="0"/>
        <w:autoSpaceDN w:val="0"/>
        <w:adjustRightInd w:val="0"/>
        <w:spacing w:after="0" w:line="240" w:lineRule="auto"/>
        <w:rPr>
          <w:rFonts w:ascii="Times New Roman" w:hAnsi="Times New Roman" w:cs="Times New Roman"/>
          <w:bCs/>
          <w:sz w:val="24"/>
          <w:szCs w:val="24"/>
        </w:rPr>
      </w:pPr>
      <w:r w:rsidRPr="00F24EA7">
        <w:rPr>
          <w:rFonts w:ascii="Times New Roman" w:hAnsi="Times New Roman" w:cs="Times New Roman"/>
          <w:bCs/>
          <w:sz w:val="24"/>
          <w:szCs w:val="24"/>
        </w:rPr>
        <w:t>Mean concentrat</w:t>
      </w:r>
      <w:r w:rsidR="00AE03A9" w:rsidRPr="00F24EA7">
        <w:rPr>
          <w:rFonts w:ascii="Times New Roman" w:hAnsi="Times New Roman" w:cs="Times New Roman"/>
          <w:bCs/>
          <w:sz w:val="24"/>
          <w:szCs w:val="24"/>
        </w:rPr>
        <w:t xml:space="preserve">ion </w:t>
      </w:r>
    </w:p>
    <w:p w:rsidR="00FE5B5C" w:rsidRPr="00F24EA7" w:rsidRDefault="00FE5B5C" w:rsidP="00FE5B5C">
      <w:pPr>
        <w:autoSpaceDE w:val="0"/>
        <w:autoSpaceDN w:val="0"/>
        <w:adjustRightInd w:val="0"/>
        <w:spacing w:after="0" w:line="240" w:lineRule="auto"/>
        <w:rPr>
          <w:rFonts w:ascii="Times New Roman" w:hAnsi="Times New Roman" w:cs="Times New Roman"/>
          <w:sz w:val="24"/>
          <w:szCs w:val="24"/>
        </w:rPr>
      </w:pPr>
      <w:r w:rsidRPr="00F24EA7">
        <w:rPr>
          <w:rFonts w:ascii="Times New Roman" w:hAnsi="Times New Roman" w:cs="Times New Roman"/>
          <w:sz w:val="24"/>
          <w:szCs w:val="24"/>
        </w:rPr>
        <w:t xml:space="preserve">24 hours: 25 </w:t>
      </w:r>
      <w:proofErr w:type="spellStart"/>
      <w:r w:rsidR="00AE03A9" w:rsidRPr="00F24EA7">
        <w:rPr>
          <w:rFonts w:ascii="Times New Roman" w:hAnsi="Times New Roman" w:cs="Times New Roman"/>
          <w:sz w:val="24"/>
          <w:szCs w:val="24"/>
        </w:rPr>
        <w:t>μg</w:t>
      </w:r>
      <w:proofErr w:type="spellEnd"/>
      <w:r w:rsidR="00AE03A9" w:rsidRPr="00F24EA7">
        <w:rPr>
          <w:rFonts w:ascii="Times New Roman" w:hAnsi="Times New Roman" w:cs="Times New Roman"/>
          <w:sz w:val="24"/>
          <w:szCs w:val="24"/>
        </w:rPr>
        <w:t>/m3</w:t>
      </w:r>
    </w:p>
    <w:p w:rsidR="00FE5B5C" w:rsidRPr="00F24EA7" w:rsidRDefault="00FE5B5C" w:rsidP="00FE5B5C">
      <w:pPr>
        <w:autoSpaceDE w:val="0"/>
        <w:autoSpaceDN w:val="0"/>
        <w:adjustRightInd w:val="0"/>
        <w:spacing w:after="0" w:line="240" w:lineRule="auto"/>
        <w:rPr>
          <w:rFonts w:ascii="Times New Roman" w:hAnsi="Times New Roman" w:cs="Times New Roman"/>
          <w:sz w:val="24"/>
          <w:szCs w:val="24"/>
        </w:rPr>
      </w:pPr>
      <w:r w:rsidRPr="00F24EA7">
        <w:rPr>
          <w:rFonts w:ascii="Times New Roman" w:hAnsi="Times New Roman" w:cs="Times New Roman"/>
          <w:sz w:val="24"/>
          <w:szCs w:val="24"/>
        </w:rPr>
        <w:t>Year: 10</w:t>
      </w:r>
      <w:r w:rsidR="00AE03A9" w:rsidRPr="00F24EA7">
        <w:rPr>
          <w:rFonts w:ascii="Times New Roman" w:hAnsi="Times New Roman" w:cs="Times New Roman"/>
          <w:sz w:val="24"/>
          <w:szCs w:val="24"/>
        </w:rPr>
        <w:t xml:space="preserve"> </w:t>
      </w:r>
      <w:proofErr w:type="spellStart"/>
      <w:r w:rsidR="00AE03A9" w:rsidRPr="00F24EA7">
        <w:rPr>
          <w:rFonts w:ascii="Times New Roman" w:hAnsi="Times New Roman" w:cs="Times New Roman"/>
          <w:sz w:val="24"/>
          <w:szCs w:val="24"/>
        </w:rPr>
        <w:t>μg</w:t>
      </w:r>
      <w:proofErr w:type="spellEnd"/>
      <w:r w:rsidR="00AE03A9" w:rsidRPr="00F24EA7">
        <w:rPr>
          <w:rFonts w:ascii="Times New Roman" w:hAnsi="Times New Roman" w:cs="Times New Roman"/>
          <w:sz w:val="24"/>
          <w:szCs w:val="24"/>
        </w:rPr>
        <w:t>/m3</w:t>
      </w:r>
      <w:bookmarkStart w:id="0" w:name="_GoBack"/>
      <w:bookmarkEnd w:id="0"/>
    </w:p>
    <w:p w:rsidR="00FE5B5C" w:rsidRPr="00F24EA7" w:rsidRDefault="00FE5B5C" w:rsidP="00FE5B5C">
      <w:pPr>
        <w:autoSpaceDE w:val="0"/>
        <w:autoSpaceDN w:val="0"/>
        <w:adjustRightInd w:val="0"/>
        <w:spacing w:after="0" w:line="240" w:lineRule="auto"/>
        <w:rPr>
          <w:rFonts w:ascii="Times New Roman" w:hAnsi="Times New Roman" w:cs="Times New Roman"/>
          <w:sz w:val="24"/>
          <w:szCs w:val="24"/>
        </w:rPr>
      </w:pPr>
    </w:p>
    <w:p w:rsidR="009B3B6E" w:rsidRPr="00F24EA7" w:rsidRDefault="009B3B6E" w:rsidP="00FE5B5C">
      <w:pPr>
        <w:autoSpaceDE w:val="0"/>
        <w:autoSpaceDN w:val="0"/>
        <w:adjustRightInd w:val="0"/>
        <w:spacing w:after="0" w:line="240" w:lineRule="auto"/>
        <w:rPr>
          <w:rFonts w:ascii="Times New Roman" w:hAnsi="Times New Roman" w:cs="Times New Roman"/>
          <w:bCs/>
          <w:sz w:val="24"/>
          <w:szCs w:val="24"/>
        </w:rPr>
      </w:pPr>
    </w:p>
    <w:p w:rsidR="00FE5B5C" w:rsidRPr="00F24EA7" w:rsidRDefault="00FE5B5C" w:rsidP="00FE5B5C">
      <w:pPr>
        <w:autoSpaceDE w:val="0"/>
        <w:autoSpaceDN w:val="0"/>
        <w:adjustRightInd w:val="0"/>
        <w:spacing w:after="0" w:line="240" w:lineRule="auto"/>
        <w:rPr>
          <w:rFonts w:ascii="Times New Roman" w:hAnsi="Times New Roman" w:cs="Times New Roman"/>
          <w:bCs/>
          <w:sz w:val="24"/>
          <w:szCs w:val="24"/>
        </w:rPr>
      </w:pPr>
      <w:r w:rsidRPr="00F24EA7">
        <w:rPr>
          <w:rFonts w:ascii="Times New Roman" w:hAnsi="Times New Roman" w:cs="Times New Roman"/>
          <w:bCs/>
          <w:sz w:val="24"/>
          <w:szCs w:val="24"/>
        </w:rPr>
        <w:t>Pollutant</w:t>
      </w:r>
      <w:r w:rsidR="002C1B0D" w:rsidRPr="00F24EA7">
        <w:rPr>
          <w:rFonts w:ascii="Times New Roman" w:hAnsi="Times New Roman" w:cs="Times New Roman"/>
          <w:bCs/>
          <w:sz w:val="24"/>
          <w:szCs w:val="24"/>
        </w:rPr>
        <w:t xml:space="preserve"> </w:t>
      </w:r>
      <w:r w:rsidR="002C1B0D" w:rsidRPr="00F24EA7">
        <w:rPr>
          <w:rFonts w:ascii="Times New Roman" w:hAnsi="Times New Roman" w:cs="Times New Roman"/>
          <w:sz w:val="24"/>
          <w:szCs w:val="24"/>
        </w:rPr>
        <w:t>CO (mg/m3)</w:t>
      </w:r>
    </w:p>
    <w:p w:rsidR="00FE5B5C" w:rsidRPr="00F24EA7" w:rsidRDefault="00FE5B5C" w:rsidP="00FE5B5C">
      <w:pPr>
        <w:autoSpaceDE w:val="0"/>
        <w:autoSpaceDN w:val="0"/>
        <w:adjustRightInd w:val="0"/>
        <w:spacing w:after="0" w:line="240" w:lineRule="auto"/>
        <w:rPr>
          <w:rFonts w:ascii="Times New Roman" w:hAnsi="Times New Roman" w:cs="Times New Roman"/>
          <w:bCs/>
          <w:sz w:val="24"/>
          <w:szCs w:val="24"/>
        </w:rPr>
      </w:pPr>
      <w:r w:rsidRPr="00F24EA7">
        <w:rPr>
          <w:rFonts w:ascii="Times New Roman" w:hAnsi="Times New Roman" w:cs="Times New Roman"/>
          <w:bCs/>
          <w:sz w:val="24"/>
          <w:szCs w:val="24"/>
        </w:rPr>
        <w:t>Mean concen</w:t>
      </w:r>
      <w:r w:rsidR="00ED7523" w:rsidRPr="00F24EA7">
        <w:rPr>
          <w:rFonts w:ascii="Times New Roman" w:hAnsi="Times New Roman" w:cs="Times New Roman"/>
          <w:bCs/>
          <w:sz w:val="24"/>
          <w:szCs w:val="24"/>
        </w:rPr>
        <w:t xml:space="preserve">tration </w:t>
      </w:r>
    </w:p>
    <w:p w:rsidR="002C1B0D" w:rsidRPr="00F24EA7" w:rsidRDefault="002C1B0D" w:rsidP="00FE5B5C">
      <w:pPr>
        <w:autoSpaceDE w:val="0"/>
        <w:autoSpaceDN w:val="0"/>
        <w:adjustRightInd w:val="0"/>
        <w:spacing w:after="0" w:line="240" w:lineRule="auto"/>
        <w:rPr>
          <w:rFonts w:ascii="Times New Roman" w:hAnsi="Times New Roman" w:cs="Times New Roman"/>
          <w:bCs/>
          <w:sz w:val="24"/>
          <w:szCs w:val="24"/>
        </w:rPr>
      </w:pPr>
      <w:r w:rsidRPr="00F24EA7">
        <w:rPr>
          <w:rFonts w:ascii="Times New Roman" w:hAnsi="Times New Roman" w:cs="Times New Roman"/>
          <w:bCs/>
          <w:sz w:val="24"/>
          <w:szCs w:val="24"/>
        </w:rPr>
        <w:t>8 hours: 10</w:t>
      </w:r>
      <w:r w:rsidR="00ED7523" w:rsidRPr="00F24EA7">
        <w:rPr>
          <w:rFonts w:ascii="Times New Roman" w:hAnsi="Times New Roman" w:cs="Times New Roman"/>
          <w:bCs/>
          <w:sz w:val="24"/>
          <w:szCs w:val="24"/>
        </w:rPr>
        <w:t xml:space="preserve"> </w:t>
      </w:r>
      <w:r w:rsidR="00ED7523" w:rsidRPr="00F24EA7">
        <w:rPr>
          <w:rFonts w:ascii="Times New Roman" w:hAnsi="Times New Roman" w:cs="Times New Roman"/>
          <w:sz w:val="24"/>
          <w:szCs w:val="24"/>
        </w:rPr>
        <w:t>mg/m3</w:t>
      </w:r>
    </w:p>
    <w:p w:rsidR="00FE5B5C" w:rsidRPr="00F24EA7" w:rsidRDefault="00FE5B5C" w:rsidP="00FE5B5C">
      <w:pPr>
        <w:autoSpaceDE w:val="0"/>
        <w:autoSpaceDN w:val="0"/>
        <w:adjustRightInd w:val="0"/>
        <w:spacing w:after="0" w:line="240" w:lineRule="auto"/>
        <w:rPr>
          <w:rFonts w:ascii="Times New Roman" w:hAnsi="Times New Roman" w:cs="Times New Roman"/>
          <w:bCs/>
          <w:sz w:val="24"/>
          <w:szCs w:val="24"/>
        </w:rPr>
      </w:pPr>
      <w:r w:rsidRPr="00F24EA7">
        <w:rPr>
          <w:rFonts w:ascii="Times New Roman" w:hAnsi="Times New Roman" w:cs="Times New Roman"/>
          <w:bCs/>
          <w:sz w:val="24"/>
          <w:szCs w:val="24"/>
        </w:rPr>
        <w:t>24</w:t>
      </w:r>
      <w:r w:rsidR="002C1B0D" w:rsidRPr="00F24EA7">
        <w:rPr>
          <w:rFonts w:ascii="Times New Roman" w:hAnsi="Times New Roman" w:cs="Times New Roman"/>
          <w:bCs/>
          <w:sz w:val="24"/>
          <w:szCs w:val="24"/>
        </w:rPr>
        <w:t xml:space="preserve"> H</w:t>
      </w:r>
      <w:r w:rsidRPr="00F24EA7">
        <w:rPr>
          <w:rFonts w:ascii="Times New Roman" w:hAnsi="Times New Roman" w:cs="Times New Roman"/>
          <w:bCs/>
          <w:sz w:val="24"/>
          <w:szCs w:val="24"/>
        </w:rPr>
        <w:t>ours</w:t>
      </w:r>
      <w:r w:rsidR="002C1B0D" w:rsidRPr="00F24EA7">
        <w:rPr>
          <w:rFonts w:ascii="Times New Roman" w:hAnsi="Times New Roman" w:cs="Times New Roman"/>
          <w:bCs/>
          <w:sz w:val="24"/>
          <w:szCs w:val="24"/>
        </w:rPr>
        <w:t xml:space="preserve">: 7 </w:t>
      </w:r>
      <w:r w:rsidR="00ED7523" w:rsidRPr="00F24EA7">
        <w:rPr>
          <w:rFonts w:ascii="Times New Roman" w:hAnsi="Times New Roman" w:cs="Times New Roman"/>
          <w:sz w:val="24"/>
          <w:szCs w:val="24"/>
        </w:rPr>
        <w:t>mg/m3</w:t>
      </w:r>
      <w:r w:rsidR="00ED7523" w:rsidRPr="00F24EA7">
        <w:rPr>
          <w:rFonts w:ascii="Times New Roman" w:hAnsi="Times New Roman" w:cs="Times New Roman"/>
          <w:bCs/>
          <w:sz w:val="24"/>
          <w:szCs w:val="24"/>
        </w:rPr>
        <w:t xml:space="preserve"> </w:t>
      </w:r>
      <w:r w:rsidR="002C1B0D" w:rsidRPr="00F24EA7">
        <w:rPr>
          <w:rFonts w:ascii="Times New Roman" w:hAnsi="Times New Roman" w:cs="Times New Roman"/>
          <w:bCs/>
          <w:sz w:val="24"/>
          <w:szCs w:val="24"/>
        </w:rPr>
        <w:t>(pg. 11-12)</w:t>
      </w:r>
    </w:p>
    <w:p w:rsidR="00BA0950" w:rsidRPr="00DE09B4" w:rsidRDefault="00BA0950" w:rsidP="00FE5B5C">
      <w:pPr>
        <w:autoSpaceDE w:val="0"/>
        <w:autoSpaceDN w:val="0"/>
        <w:adjustRightInd w:val="0"/>
        <w:spacing w:after="0" w:line="240" w:lineRule="auto"/>
        <w:rPr>
          <w:rFonts w:ascii="Times New Roman" w:hAnsi="Times New Roman" w:cs="Times New Roman"/>
          <w:bCs/>
          <w:sz w:val="24"/>
          <w:szCs w:val="24"/>
        </w:rPr>
      </w:pPr>
    </w:p>
    <w:p w:rsidR="00BA0950" w:rsidRPr="00BA0950" w:rsidRDefault="00BA0950" w:rsidP="00BA0950">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b/>
          <w:sz w:val="24"/>
          <w:szCs w:val="24"/>
        </w:rPr>
        <w:t>Model used to approximate indoor pollution</w:t>
      </w:r>
    </w:p>
    <w:p w:rsidR="001C6906" w:rsidRPr="00DE09B4" w:rsidRDefault="001C6906" w:rsidP="00FE5B5C">
      <w:pPr>
        <w:autoSpaceDE w:val="0"/>
        <w:autoSpaceDN w:val="0"/>
        <w:adjustRightInd w:val="0"/>
        <w:spacing w:after="0" w:line="240" w:lineRule="auto"/>
        <w:rPr>
          <w:rFonts w:ascii="Times New Roman" w:hAnsi="Times New Roman" w:cs="Times New Roman"/>
          <w:bCs/>
          <w:sz w:val="24"/>
          <w:szCs w:val="24"/>
        </w:rPr>
      </w:pPr>
    </w:p>
    <w:p w:rsidR="002C1B0D" w:rsidRPr="00BA0950" w:rsidRDefault="001C6906" w:rsidP="00BA0950">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BA0950">
        <w:rPr>
          <w:rFonts w:ascii="MinionPro-Regular" w:hAnsi="MinionPro-Regular" w:cs="MinionPro-Regular"/>
          <w:sz w:val="24"/>
          <w:szCs w:val="24"/>
        </w:rPr>
        <w:t>The input data used for the model were obtained from measurements made in India, and are summarized in Table 2.4.</w:t>
      </w:r>
      <w:r w:rsidR="00ED7523" w:rsidRPr="00BA0950">
        <w:rPr>
          <w:rFonts w:ascii="MinionPro-Regular" w:hAnsi="MinionPro-Regular" w:cs="MinionPro-Regular"/>
          <w:sz w:val="24"/>
          <w:szCs w:val="24"/>
        </w:rPr>
        <w:t xml:space="preserve"> </w:t>
      </w:r>
    </w:p>
    <w:p w:rsidR="002C1B0D" w:rsidRPr="00DE09B4" w:rsidRDefault="002C1B0D" w:rsidP="002C1B0D">
      <w:pPr>
        <w:autoSpaceDE w:val="0"/>
        <w:autoSpaceDN w:val="0"/>
        <w:adjustRightInd w:val="0"/>
        <w:spacing w:after="0" w:line="240" w:lineRule="auto"/>
        <w:rPr>
          <w:rFonts w:ascii="Times New Roman" w:hAnsi="Times New Roman" w:cs="Times New Roman"/>
          <w:b/>
          <w:sz w:val="24"/>
          <w:szCs w:val="24"/>
        </w:rPr>
      </w:pPr>
      <w:r w:rsidRPr="00DE09B4">
        <w:rPr>
          <w:rFonts w:ascii="Times New Roman" w:hAnsi="Times New Roman" w:cs="Times New Roman"/>
          <w:sz w:val="24"/>
          <w:szCs w:val="24"/>
        </w:rPr>
        <w:t>Air exchange rate (α</w:t>
      </w:r>
      <w:r w:rsidR="001C6906" w:rsidRPr="00DE09B4">
        <w:rPr>
          <w:rFonts w:ascii="Times New Roman" w:hAnsi="Times New Roman" w:cs="Times New Roman"/>
          <w:sz w:val="24"/>
          <w:szCs w:val="24"/>
        </w:rPr>
        <w:t xml:space="preserve">) per hour </w:t>
      </w:r>
      <w:r w:rsidR="001C6906" w:rsidRPr="00DE09B4">
        <w:rPr>
          <w:rFonts w:ascii="Times New Roman" w:hAnsi="Times New Roman" w:cs="Times New Roman"/>
          <w:b/>
          <w:sz w:val="24"/>
          <w:szCs w:val="24"/>
        </w:rPr>
        <w:t>15</w:t>
      </w:r>
    </w:p>
    <w:p w:rsidR="002C1B0D" w:rsidRPr="00DE09B4" w:rsidRDefault="002C1B0D" w:rsidP="002C1B0D">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K</w:t>
      </w:r>
      <w:r w:rsidR="001C6906" w:rsidRPr="00DE09B4">
        <w:rPr>
          <w:rFonts w:ascii="Times New Roman" w:hAnsi="Times New Roman" w:cs="Times New Roman"/>
          <w:sz w:val="24"/>
          <w:szCs w:val="24"/>
        </w:rPr>
        <w:t xml:space="preserve">itchen volume (V) m3 </w:t>
      </w:r>
      <w:r w:rsidR="001C6906" w:rsidRPr="00DE09B4">
        <w:rPr>
          <w:rFonts w:ascii="Times New Roman" w:hAnsi="Times New Roman" w:cs="Times New Roman"/>
          <w:b/>
          <w:sz w:val="24"/>
          <w:szCs w:val="24"/>
        </w:rPr>
        <w:t>30</w:t>
      </w:r>
      <w:r w:rsidR="001C6906" w:rsidRPr="00DE09B4">
        <w:rPr>
          <w:rFonts w:ascii="Times New Roman" w:hAnsi="Times New Roman" w:cs="Times New Roman"/>
          <w:sz w:val="24"/>
          <w:szCs w:val="24"/>
        </w:rPr>
        <w:t xml:space="preserve"> </w:t>
      </w:r>
    </w:p>
    <w:p w:rsidR="002C1B0D" w:rsidRPr="00DE09B4" w:rsidRDefault="002C1B0D" w:rsidP="002C1B0D">
      <w:pPr>
        <w:autoSpaceDE w:val="0"/>
        <w:autoSpaceDN w:val="0"/>
        <w:adjustRightInd w:val="0"/>
        <w:spacing w:after="0" w:line="240" w:lineRule="auto"/>
        <w:rPr>
          <w:rFonts w:ascii="Times New Roman" w:hAnsi="Times New Roman" w:cs="Times New Roman"/>
          <w:b/>
          <w:sz w:val="24"/>
          <w:szCs w:val="24"/>
        </w:rPr>
      </w:pPr>
      <w:r w:rsidRPr="00DE09B4">
        <w:rPr>
          <w:rFonts w:ascii="Times New Roman" w:hAnsi="Times New Roman" w:cs="Times New Roman"/>
          <w:sz w:val="24"/>
          <w:szCs w:val="24"/>
        </w:rPr>
        <w:t>Device bu</w:t>
      </w:r>
      <w:r w:rsidR="001C6906" w:rsidRPr="00DE09B4">
        <w:rPr>
          <w:rFonts w:ascii="Times New Roman" w:hAnsi="Times New Roman" w:cs="Times New Roman"/>
          <w:sz w:val="24"/>
          <w:szCs w:val="24"/>
        </w:rPr>
        <w:t xml:space="preserve">rn time hours per day </w:t>
      </w:r>
      <w:r w:rsidR="001C6906" w:rsidRPr="00DE09B4">
        <w:rPr>
          <w:rFonts w:ascii="Times New Roman" w:hAnsi="Times New Roman" w:cs="Times New Roman"/>
          <w:b/>
          <w:sz w:val="24"/>
          <w:szCs w:val="24"/>
        </w:rPr>
        <w:t xml:space="preserve">4 </w:t>
      </w:r>
    </w:p>
    <w:p w:rsidR="002C1B0D" w:rsidRPr="00DE09B4" w:rsidRDefault="002C1B0D" w:rsidP="002C1B0D">
      <w:pPr>
        <w:autoSpaceDE w:val="0"/>
        <w:autoSpaceDN w:val="0"/>
        <w:adjustRightInd w:val="0"/>
        <w:spacing w:after="0" w:line="240" w:lineRule="auto"/>
        <w:rPr>
          <w:rFonts w:ascii="Times New Roman" w:hAnsi="Times New Roman" w:cs="Times New Roman"/>
          <w:bCs/>
          <w:sz w:val="24"/>
          <w:szCs w:val="24"/>
        </w:rPr>
      </w:pPr>
    </w:p>
    <w:p w:rsidR="002C1B0D" w:rsidRPr="00DE09B4" w:rsidRDefault="002C1B0D" w:rsidP="00FE5B5C">
      <w:pPr>
        <w:autoSpaceDE w:val="0"/>
        <w:autoSpaceDN w:val="0"/>
        <w:adjustRightInd w:val="0"/>
        <w:spacing w:after="0" w:line="240" w:lineRule="auto"/>
        <w:rPr>
          <w:rFonts w:ascii="Times New Roman" w:hAnsi="Times New Roman" w:cs="Times New Roman"/>
          <w:bCs/>
          <w:sz w:val="24"/>
          <w:szCs w:val="24"/>
        </w:rPr>
      </w:pPr>
    </w:p>
    <w:p w:rsidR="002C1B0D" w:rsidRPr="00DE09B4" w:rsidRDefault="002C1B0D" w:rsidP="002C1B0D">
      <w:p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 xml:space="preserve">The </w:t>
      </w:r>
      <w:r w:rsidRPr="00DE09B4">
        <w:rPr>
          <w:rFonts w:ascii="MinionPro-Bold" w:hAnsi="MinionPro-Bold" w:cs="MinionPro-Bold"/>
          <w:b/>
          <w:bCs/>
          <w:sz w:val="24"/>
          <w:szCs w:val="24"/>
        </w:rPr>
        <w:t xml:space="preserve">single zone </w:t>
      </w:r>
      <w:r w:rsidRPr="00DE09B4">
        <w:rPr>
          <w:rFonts w:ascii="MinionPro-Regular" w:hAnsi="MinionPro-Regular" w:cs="MinionPro-Regular"/>
          <w:sz w:val="24"/>
          <w:szCs w:val="24"/>
        </w:rPr>
        <w:t>model, which assumes that the pollutant emitted into room air is uniformly mixed throughout the space. Concentration is determined by emission rate and a number of other factors that can be incorporated into the model, including duration of combustion, room volume and air exchange rate.</w:t>
      </w:r>
    </w:p>
    <w:p w:rsidR="002C1B0D" w:rsidRPr="00DE09B4" w:rsidRDefault="002C1B0D" w:rsidP="002C1B0D">
      <w:pPr>
        <w:autoSpaceDE w:val="0"/>
        <w:autoSpaceDN w:val="0"/>
        <w:adjustRightInd w:val="0"/>
        <w:spacing w:after="0" w:line="240" w:lineRule="auto"/>
        <w:rPr>
          <w:rFonts w:ascii="MinionPro-Regular" w:hAnsi="MinionPro-Regular" w:cs="MinionPro-Regular"/>
          <w:sz w:val="24"/>
          <w:szCs w:val="24"/>
        </w:rPr>
      </w:pPr>
    </w:p>
    <w:p w:rsidR="002C1B0D" w:rsidRDefault="002C1B0D" w:rsidP="002C1B0D">
      <w:p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Single zone models have been applied in work on household energy and air pollution for around 30 years, and this approach was adopted for the current purposes.</w:t>
      </w:r>
      <w:r w:rsidR="00B35EC1" w:rsidRPr="00DE09B4">
        <w:rPr>
          <w:rFonts w:ascii="MinionPro-Regular" w:hAnsi="MinionPro-Regular" w:cs="MinionPro-Regular"/>
          <w:sz w:val="24"/>
          <w:szCs w:val="24"/>
        </w:rPr>
        <w:t xml:space="preserve"> (pg.23)</w:t>
      </w:r>
    </w:p>
    <w:p w:rsidR="00BA0950" w:rsidRDefault="00BA0950" w:rsidP="002C1B0D">
      <w:pPr>
        <w:autoSpaceDE w:val="0"/>
        <w:autoSpaceDN w:val="0"/>
        <w:adjustRightInd w:val="0"/>
        <w:spacing w:after="0" w:line="240" w:lineRule="auto"/>
        <w:rPr>
          <w:rFonts w:ascii="MinionPro-Regular" w:hAnsi="MinionPro-Regular" w:cs="MinionPro-Regular"/>
          <w:sz w:val="24"/>
          <w:szCs w:val="24"/>
        </w:rPr>
      </w:pPr>
    </w:p>
    <w:p w:rsidR="00BA0950" w:rsidRPr="00BA0950" w:rsidRDefault="00BA0950" w:rsidP="002C1B0D">
      <w:pPr>
        <w:autoSpaceDE w:val="0"/>
        <w:autoSpaceDN w:val="0"/>
        <w:adjustRightInd w:val="0"/>
        <w:spacing w:after="0" w:line="240" w:lineRule="auto"/>
        <w:rPr>
          <w:rFonts w:ascii="MinionPro-Regular" w:hAnsi="MinionPro-Regular" w:cs="MinionPro-Regular"/>
          <w:b/>
          <w:sz w:val="24"/>
          <w:szCs w:val="24"/>
        </w:rPr>
      </w:pPr>
      <w:r w:rsidRPr="00BA0950">
        <w:rPr>
          <w:rFonts w:ascii="MinionPro-Regular" w:hAnsi="MinionPro-Regular" w:cs="MinionPro-Regular"/>
          <w:b/>
          <w:sz w:val="24"/>
          <w:szCs w:val="24"/>
        </w:rPr>
        <w:t>Strength of recommendation</w:t>
      </w:r>
    </w:p>
    <w:p w:rsidR="00AC3B33" w:rsidRPr="00DE09B4" w:rsidRDefault="00AC3B33" w:rsidP="002C1B0D">
      <w:pPr>
        <w:autoSpaceDE w:val="0"/>
        <w:autoSpaceDN w:val="0"/>
        <w:adjustRightInd w:val="0"/>
        <w:spacing w:after="0" w:line="240" w:lineRule="auto"/>
        <w:rPr>
          <w:rFonts w:ascii="MinionPro-Regular" w:hAnsi="MinionPro-Regular" w:cs="MinionPro-Regular"/>
          <w:sz w:val="24"/>
          <w:szCs w:val="24"/>
        </w:rPr>
      </w:pPr>
    </w:p>
    <w:p w:rsidR="00AC3B33" w:rsidRPr="00DE09B4" w:rsidRDefault="00AC3B33" w:rsidP="00AC3B33">
      <w:p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 xml:space="preserve">The </w:t>
      </w:r>
      <w:r w:rsidRPr="00BA0950">
        <w:rPr>
          <w:rFonts w:ascii="MinionPro-Bold" w:hAnsi="MinionPro-Bold" w:cs="MinionPro-Bold"/>
          <w:bCs/>
          <w:sz w:val="24"/>
          <w:szCs w:val="24"/>
        </w:rPr>
        <w:t>strength of the recommendation</w:t>
      </w:r>
      <w:r w:rsidRPr="00DE09B4">
        <w:rPr>
          <w:rFonts w:ascii="MinionPro-Bold" w:hAnsi="MinionPro-Bold" w:cs="MinionPro-Bold"/>
          <w:b/>
          <w:bCs/>
          <w:sz w:val="24"/>
          <w:szCs w:val="24"/>
        </w:rPr>
        <w:t xml:space="preserve"> </w:t>
      </w:r>
      <w:r w:rsidRPr="00DE09B4">
        <w:rPr>
          <w:rFonts w:ascii="MinionPro-Regular" w:hAnsi="MinionPro-Regular" w:cs="MinionPro-Regular"/>
          <w:sz w:val="24"/>
          <w:szCs w:val="24"/>
        </w:rPr>
        <w:t>was set as either:</w:t>
      </w:r>
    </w:p>
    <w:p w:rsidR="00AC3B33" w:rsidRPr="00DE09B4" w:rsidRDefault="00AC3B33" w:rsidP="00AC3B33">
      <w:p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 xml:space="preserve">• </w:t>
      </w:r>
      <w:r w:rsidRPr="00DE09B4">
        <w:rPr>
          <w:rFonts w:ascii="MinionPro-Bold" w:hAnsi="MinionPro-Bold" w:cs="MinionPro-Bold"/>
          <w:b/>
          <w:bCs/>
          <w:sz w:val="24"/>
          <w:szCs w:val="24"/>
        </w:rPr>
        <w:t>strong</w:t>
      </w:r>
      <w:r w:rsidRPr="00DE09B4">
        <w:rPr>
          <w:rFonts w:ascii="MinionPro-Regular" w:hAnsi="MinionPro-Regular" w:cs="MinionPro-Regular"/>
          <w:sz w:val="24"/>
          <w:szCs w:val="24"/>
        </w:rPr>
        <w:t>: the guideline development group agrees that the quality of the evidence combined with certainty about the values, preferences, benefits and feasibility of this recommendation means it should be implemented in most circumstances;</w:t>
      </w:r>
    </w:p>
    <w:p w:rsidR="00AC3B33" w:rsidRPr="00DE09B4" w:rsidRDefault="00AC3B33" w:rsidP="00AC3B33">
      <w:pPr>
        <w:autoSpaceDE w:val="0"/>
        <w:autoSpaceDN w:val="0"/>
        <w:adjustRightInd w:val="0"/>
        <w:spacing w:after="0" w:line="240" w:lineRule="auto"/>
        <w:rPr>
          <w:rFonts w:ascii="MinionPro-Regular" w:hAnsi="MinionPro-Regular" w:cs="MinionPro-Regular"/>
          <w:sz w:val="24"/>
          <w:szCs w:val="24"/>
        </w:rPr>
      </w:pPr>
      <w:proofErr w:type="gramStart"/>
      <w:r w:rsidRPr="00DE09B4">
        <w:rPr>
          <w:rFonts w:ascii="MinionPro-Regular" w:hAnsi="MinionPro-Regular" w:cs="MinionPro-Regular"/>
          <w:sz w:val="24"/>
          <w:szCs w:val="24"/>
        </w:rPr>
        <w:t>or</w:t>
      </w:r>
      <w:proofErr w:type="gramEnd"/>
    </w:p>
    <w:p w:rsidR="00AC3B33" w:rsidRDefault="00AC3B33" w:rsidP="00FA1F5F">
      <w:pPr>
        <w:autoSpaceDE w:val="0"/>
        <w:autoSpaceDN w:val="0"/>
        <w:adjustRightInd w:val="0"/>
        <w:spacing w:after="0" w:line="240" w:lineRule="auto"/>
        <w:rPr>
          <w:rFonts w:ascii="MinionPro-Regular" w:hAnsi="MinionPro-Regular" w:cs="MinionPro-Regular"/>
          <w:sz w:val="24"/>
          <w:szCs w:val="24"/>
        </w:rPr>
      </w:pPr>
      <w:r w:rsidRPr="00DE09B4">
        <w:rPr>
          <w:rFonts w:ascii="MinionPro-Regular" w:hAnsi="MinionPro-Regular" w:cs="MinionPro-Regular"/>
          <w:sz w:val="24"/>
          <w:szCs w:val="24"/>
        </w:rPr>
        <w:t xml:space="preserve">• </w:t>
      </w:r>
      <w:r w:rsidRPr="00DE09B4">
        <w:rPr>
          <w:rFonts w:ascii="MinionPro-Bold" w:hAnsi="MinionPro-Bold" w:cs="MinionPro-Bold"/>
          <w:b/>
          <w:bCs/>
          <w:sz w:val="24"/>
          <w:szCs w:val="24"/>
        </w:rPr>
        <w:t>conditional</w:t>
      </w:r>
      <w:r w:rsidRPr="00DE09B4">
        <w:rPr>
          <w:rFonts w:ascii="MinionPro-Regular" w:hAnsi="MinionPro-Regular" w:cs="MinionPro-Regular"/>
          <w:sz w:val="24"/>
          <w:szCs w:val="24"/>
        </w:rPr>
        <w:t>: there was less certainty about the combined quality of evidence and values, preferences, benefits and feasibility of this type of recommendation</w:t>
      </w:r>
      <w:r w:rsidR="00FA1F5F" w:rsidRPr="00DE09B4">
        <w:rPr>
          <w:rFonts w:ascii="MinionPro-Regular" w:hAnsi="MinionPro-Regular" w:cs="MinionPro-Regular"/>
          <w:sz w:val="24"/>
          <w:szCs w:val="24"/>
        </w:rPr>
        <w:t xml:space="preserve"> </w:t>
      </w:r>
      <w:r w:rsidRPr="00DE09B4">
        <w:rPr>
          <w:rFonts w:ascii="MinionPro-Regular" w:hAnsi="MinionPro-Regular" w:cs="MinionPro-Regular"/>
          <w:sz w:val="24"/>
          <w:szCs w:val="24"/>
        </w:rPr>
        <w:t>meaning there may be circumstances or settings in which it will not apply.</w:t>
      </w:r>
    </w:p>
    <w:p w:rsidR="00BA0950" w:rsidRDefault="00BA0950" w:rsidP="00FA1F5F">
      <w:pPr>
        <w:autoSpaceDE w:val="0"/>
        <w:autoSpaceDN w:val="0"/>
        <w:adjustRightInd w:val="0"/>
        <w:spacing w:after="0" w:line="240" w:lineRule="auto"/>
        <w:rPr>
          <w:rFonts w:ascii="MinionPro-Regular" w:hAnsi="MinionPro-Regular" w:cs="MinionPro-Regular"/>
          <w:sz w:val="24"/>
          <w:szCs w:val="24"/>
        </w:rPr>
      </w:pPr>
    </w:p>
    <w:p w:rsidR="00BA0950" w:rsidRPr="00DE09B4" w:rsidRDefault="00BA0950" w:rsidP="00BA095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Recommended emission rate: PM and CO per minute</w:t>
      </w:r>
    </w:p>
    <w:p w:rsidR="00BA0950" w:rsidRPr="00DE09B4" w:rsidRDefault="00BA0950" w:rsidP="00FA1F5F">
      <w:pPr>
        <w:autoSpaceDE w:val="0"/>
        <w:autoSpaceDN w:val="0"/>
        <w:adjustRightInd w:val="0"/>
        <w:spacing w:after="0" w:line="240" w:lineRule="auto"/>
        <w:rPr>
          <w:rFonts w:ascii="MinionPro-Regular" w:hAnsi="MinionPro-Regular" w:cs="MinionPro-Regular"/>
          <w:sz w:val="24"/>
          <w:szCs w:val="24"/>
        </w:rPr>
      </w:pPr>
    </w:p>
    <w:p w:rsidR="00AC3B33" w:rsidRPr="00DE09B4" w:rsidRDefault="00AC3B33" w:rsidP="00AC3B33">
      <w:pPr>
        <w:autoSpaceDE w:val="0"/>
        <w:autoSpaceDN w:val="0"/>
        <w:adjustRightInd w:val="0"/>
        <w:spacing w:after="0" w:line="240" w:lineRule="auto"/>
        <w:rPr>
          <w:rFonts w:ascii="MinionPro-Regular" w:hAnsi="MinionPro-Regular" w:cs="MinionPro-Regular"/>
          <w:sz w:val="24"/>
          <w:szCs w:val="24"/>
        </w:rPr>
      </w:pPr>
    </w:p>
    <w:p w:rsidR="00AC3B33" w:rsidRPr="00DE09B4" w:rsidRDefault="00AC3B33" w:rsidP="00BA09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86340">
        <w:rPr>
          <w:rFonts w:ascii="Times New Roman" w:hAnsi="Times New Roman" w:cs="Times New Roman"/>
          <w:bCs/>
          <w:sz w:val="24"/>
          <w:szCs w:val="24"/>
        </w:rPr>
        <w:t>Scoping question 1</w:t>
      </w:r>
      <w:r w:rsidRPr="00E86340">
        <w:rPr>
          <w:rFonts w:ascii="Times New Roman" w:hAnsi="Times New Roman" w:cs="Times New Roman"/>
          <w:sz w:val="24"/>
          <w:szCs w:val="24"/>
        </w:rPr>
        <w:t>:</w:t>
      </w:r>
      <w:r w:rsidRPr="00DE09B4">
        <w:rPr>
          <w:rFonts w:ascii="Times New Roman" w:hAnsi="Times New Roman" w:cs="Times New Roman"/>
          <w:sz w:val="24"/>
          <w:szCs w:val="24"/>
        </w:rPr>
        <w:t xml:space="preserve"> What device and fuel emission rates are required to meet</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WHO (annual average) air quality guidelines and interim target-1 (IT-1) for</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PM2.5 and the (24-hour average) air quality guideline for CO?</w:t>
      </w:r>
    </w:p>
    <w:p w:rsidR="00AC3B33" w:rsidRPr="00BA0950" w:rsidRDefault="00AC3B33" w:rsidP="00AC3B33">
      <w:pPr>
        <w:autoSpaceDE w:val="0"/>
        <w:autoSpaceDN w:val="0"/>
        <w:adjustRightInd w:val="0"/>
        <w:spacing w:after="0" w:line="240" w:lineRule="auto"/>
        <w:rPr>
          <w:rFonts w:ascii="Times New Roman" w:hAnsi="Times New Roman" w:cs="Times New Roman"/>
          <w:bCs/>
          <w:sz w:val="24"/>
          <w:szCs w:val="24"/>
        </w:rPr>
      </w:pPr>
      <w:r w:rsidRPr="00BA0950">
        <w:rPr>
          <w:rFonts w:ascii="Times New Roman" w:hAnsi="Times New Roman" w:cs="Times New Roman"/>
          <w:bCs/>
          <w:sz w:val="24"/>
          <w:szCs w:val="24"/>
        </w:rPr>
        <w:t xml:space="preserve">Recommendation Emission rate targets </w:t>
      </w:r>
    </w:p>
    <w:p w:rsidR="00AC3B33" w:rsidRPr="00BA0950" w:rsidRDefault="00AC3B33" w:rsidP="00AC3B33">
      <w:pPr>
        <w:autoSpaceDE w:val="0"/>
        <w:autoSpaceDN w:val="0"/>
        <w:adjustRightInd w:val="0"/>
        <w:spacing w:after="0" w:line="240" w:lineRule="auto"/>
        <w:rPr>
          <w:rFonts w:ascii="Times New Roman" w:hAnsi="Times New Roman" w:cs="Times New Roman"/>
          <w:bCs/>
          <w:sz w:val="24"/>
          <w:szCs w:val="24"/>
        </w:rPr>
      </w:pPr>
      <w:r w:rsidRPr="00BA0950">
        <w:rPr>
          <w:rFonts w:ascii="Times New Roman" w:hAnsi="Times New Roman" w:cs="Times New Roman"/>
          <w:bCs/>
          <w:sz w:val="24"/>
          <w:szCs w:val="24"/>
        </w:rPr>
        <w:t>Strength of Recommendation: strong</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PM2.5 (unvented) 0.23 (mg/min)</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PM2.5 (vented) 0.80 (mg/min)</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p>
    <w:p w:rsidR="00BA0950" w:rsidRDefault="00BA0950" w:rsidP="00AC3B33">
      <w:pPr>
        <w:autoSpaceDE w:val="0"/>
        <w:autoSpaceDN w:val="0"/>
        <w:adjustRightInd w:val="0"/>
        <w:spacing w:after="0" w:line="240" w:lineRule="auto"/>
        <w:rPr>
          <w:rFonts w:ascii="Times New Roman" w:hAnsi="Times New Roman" w:cs="Times New Roman"/>
          <w:sz w:val="24"/>
          <w:szCs w:val="24"/>
        </w:rPr>
      </w:pP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CO (unvented) 0.16 (g/min)</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CO (vented) 0.59 (g/min) (pg.34)</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p>
    <w:p w:rsidR="00AC3B33" w:rsidRPr="00BA0950" w:rsidRDefault="00AC3B33" w:rsidP="00BA09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A0950">
        <w:rPr>
          <w:rFonts w:ascii="Times New Roman" w:hAnsi="Times New Roman" w:cs="Times New Roman"/>
          <w:sz w:val="24"/>
          <w:szCs w:val="24"/>
        </w:rPr>
        <w:t>These ERTs will result in 90% of homes m</w:t>
      </w:r>
      <w:r w:rsidR="00343A39" w:rsidRPr="00BA0950">
        <w:rPr>
          <w:rFonts w:ascii="Times New Roman" w:hAnsi="Times New Roman" w:cs="Times New Roman"/>
          <w:sz w:val="24"/>
          <w:szCs w:val="24"/>
        </w:rPr>
        <w:t xml:space="preserve">eeting WHO AQG values for PM2.5 </w:t>
      </w:r>
      <w:r w:rsidRPr="00BA0950">
        <w:rPr>
          <w:rFonts w:ascii="Times New Roman" w:hAnsi="Times New Roman" w:cs="Times New Roman"/>
          <w:sz w:val="24"/>
          <w:szCs w:val="24"/>
        </w:rPr>
        <w:t>(annual average) and CO (24-hour average)</w:t>
      </w:r>
      <w:r w:rsidR="00343A39" w:rsidRPr="00BA0950">
        <w:rPr>
          <w:rFonts w:ascii="Times New Roman" w:hAnsi="Times New Roman" w:cs="Times New Roman"/>
          <w:sz w:val="24"/>
          <w:szCs w:val="24"/>
        </w:rPr>
        <w:t xml:space="preserve">. This assumes model inputs for </w:t>
      </w:r>
      <w:r w:rsidRPr="00BA0950">
        <w:rPr>
          <w:rFonts w:ascii="Times New Roman" w:hAnsi="Times New Roman" w:cs="Times New Roman"/>
          <w:sz w:val="24"/>
          <w:szCs w:val="24"/>
        </w:rPr>
        <w:t>kitchen volume, air exchange rate and duration</w:t>
      </w:r>
      <w:r w:rsidR="00343A39" w:rsidRPr="00BA0950">
        <w:rPr>
          <w:rFonts w:ascii="Times New Roman" w:hAnsi="Times New Roman" w:cs="Times New Roman"/>
          <w:sz w:val="24"/>
          <w:szCs w:val="24"/>
        </w:rPr>
        <w:t xml:space="preserve"> of device use per 24 hours, as </w:t>
      </w:r>
      <w:r w:rsidRPr="00BA0950">
        <w:rPr>
          <w:rFonts w:ascii="Times New Roman" w:hAnsi="Times New Roman" w:cs="Times New Roman"/>
          <w:sz w:val="24"/>
          <w:szCs w:val="24"/>
        </w:rPr>
        <w:t>set out in Table R1.1.</w:t>
      </w:r>
    </w:p>
    <w:p w:rsidR="00BA0950" w:rsidRPr="00BA0950" w:rsidRDefault="00BA0950" w:rsidP="00BA0950">
      <w:pPr>
        <w:autoSpaceDE w:val="0"/>
        <w:autoSpaceDN w:val="0"/>
        <w:adjustRightInd w:val="0"/>
        <w:spacing w:after="0" w:line="240" w:lineRule="auto"/>
        <w:rPr>
          <w:rFonts w:ascii="Times New Roman" w:hAnsi="Times New Roman" w:cs="Times New Roman"/>
          <w:sz w:val="24"/>
          <w:szCs w:val="24"/>
        </w:rPr>
      </w:pPr>
    </w:p>
    <w:p w:rsidR="00AC3B33"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Intermediate emission rate targets (IERTs) sho</w:t>
      </w:r>
      <w:r w:rsidR="00FA1F5F" w:rsidRPr="00DE09B4">
        <w:rPr>
          <w:rFonts w:ascii="Times New Roman" w:hAnsi="Times New Roman" w:cs="Times New Roman"/>
          <w:sz w:val="24"/>
          <w:szCs w:val="24"/>
        </w:rPr>
        <w:t xml:space="preserve">w the rates that will result in </w:t>
      </w:r>
      <w:r w:rsidRPr="00DE09B4">
        <w:rPr>
          <w:rFonts w:ascii="Times New Roman" w:hAnsi="Times New Roman" w:cs="Times New Roman"/>
          <w:sz w:val="24"/>
          <w:szCs w:val="24"/>
        </w:rPr>
        <w:t>60% of homes meeting IT-1 for PM2.5 (Table</w:t>
      </w:r>
      <w:r w:rsidR="00343A39" w:rsidRPr="00DE09B4">
        <w:rPr>
          <w:rFonts w:ascii="Times New Roman" w:hAnsi="Times New Roman" w:cs="Times New Roman"/>
          <w:sz w:val="24"/>
          <w:szCs w:val="24"/>
        </w:rPr>
        <w:t xml:space="preserve"> R1.2) and 60% of homes meeting </w:t>
      </w:r>
      <w:r w:rsidRPr="00DE09B4">
        <w:rPr>
          <w:rFonts w:ascii="Times New Roman" w:hAnsi="Times New Roman" w:cs="Times New Roman"/>
          <w:sz w:val="24"/>
          <w:szCs w:val="24"/>
        </w:rPr>
        <w:t>the 24-hour AQG for CO (Table R1.3). The val</w:t>
      </w:r>
      <w:r w:rsidR="00343A39" w:rsidRPr="00DE09B4">
        <w:rPr>
          <w:rFonts w:ascii="Times New Roman" w:hAnsi="Times New Roman" w:cs="Times New Roman"/>
          <w:sz w:val="24"/>
          <w:szCs w:val="24"/>
        </w:rPr>
        <w:t xml:space="preserve">ue of 60% is arbitrary, but was </w:t>
      </w:r>
      <w:r w:rsidRPr="00DE09B4">
        <w:rPr>
          <w:rFonts w:ascii="Times New Roman" w:hAnsi="Times New Roman" w:cs="Times New Roman"/>
          <w:sz w:val="24"/>
          <w:szCs w:val="24"/>
        </w:rPr>
        <w:t>selected so that a majority of homes would meet the specified guideline level.</w:t>
      </w:r>
    </w:p>
    <w:p w:rsidR="00BA0950" w:rsidRPr="00DE09B4" w:rsidRDefault="00BA0950" w:rsidP="00AC3B33">
      <w:pPr>
        <w:autoSpaceDE w:val="0"/>
        <w:autoSpaceDN w:val="0"/>
        <w:adjustRightInd w:val="0"/>
        <w:spacing w:after="0" w:line="240" w:lineRule="auto"/>
        <w:rPr>
          <w:rFonts w:ascii="Times New Roman" w:hAnsi="Times New Roman" w:cs="Times New Roman"/>
          <w:sz w:val="24"/>
          <w:szCs w:val="24"/>
        </w:rPr>
      </w:pP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Separate guidance is provided for unvented and vent</w:t>
      </w:r>
      <w:r w:rsidR="00343A39" w:rsidRPr="00DE09B4">
        <w:rPr>
          <w:rFonts w:ascii="Times New Roman" w:hAnsi="Times New Roman" w:cs="Times New Roman"/>
          <w:sz w:val="24"/>
          <w:szCs w:val="24"/>
        </w:rPr>
        <w:t xml:space="preserve">ed stoves as those technologies </w:t>
      </w:r>
      <w:r w:rsidRPr="00DE09B4">
        <w:rPr>
          <w:rFonts w:ascii="Times New Roman" w:hAnsi="Times New Roman" w:cs="Times New Roman"/>
          <w:sz w:val="24"/>
          <w:szCs w:val="24"/>
        </w:rPr>
        <w:t>with chimneys or other venting me</w:t>
      </w:r>
      <w:r w:rsidR="00343A39" w:rsidRPr="00DE09B4">
        <w:rPr>
          <w:rFonts w:ascii="Times New Roman" w:hAnsi="Times New Roman" w:cs="Times New Roman"/>
          <w:sz w:val="24"/>
          <w:szCs w:val="24"/>
        </w:rPr>
        <w:t xml:space="preserve">chanisms can improve indoor air </w:t>
      </w:r>
      <w:r w:rsidRPr="00DE09B4">
        <w:rPr>
          <w:rFonts w:ascii="Times New Roman" w:hAnsi="Times New Roman" w:cs="Times New Roman"/>
          <w:sz w:val="24"/>
          <w:szCs w:val="24"/>
        </w:rPr>
        <w:t>quality through moving a fraction of the pollutants outdoors.</w:t>
      </w:r>
      <w:r w:rsidR="00343A39" w:rsidRPr="00DE09B4">
        <w:rPr>
          <w:rFonts w:ascii="Times New Roman" w:hAnsi="Times New Roman" w:cs="Times New Roman"/>
          <w:sz w:val="24"/>
          <w:szCs w:val="24"/>
        </w:rPr>
        <w:t xml:space="preserve"> (pg. 35)</w:t>
      </w:r>
    </w:p>
    <w:p w:rsidR="00343A39" w:rsidRPr="00DE09B4" w:rsidRDefault="00343A39" w:rsidP="00AC3B33">
      <w:pPr>
        <w:autoSpaceDE w:val="0"/>
        <w:autoSpaceDN w:val="0"/>
        <w:adjustRightInd w:val="0"/>
        <w:spacing w:after="0" w:line="240" w:lineRule="auto"/>
        <w:rPr>
          <w:rFonts w:ascii="Times New Roman" w:hAnsi="Times New Roman" w:cs="Times New Roman"/>
          <w:sz w:val="24"/>
          <w:szCs w:val="24"/>
        </w:rPr>
      </w:pPr>
    </w:p>
    <w:p w:rsidR="00343A39" w:rsidRPr="00DE09B4" w:rsidRDefault="00343A39" w:rsidP="00343A39">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b/>
          <w:bCs/>
          <w:sz w:val="24"/>
          <w:szCs w:val="24"/>
        </w:rPr>
        <w:t xml:space="preserve"> </w:t>
      </w:r>
      <w:r w:rsidRPr="00DE09B4">
        <w:rPr>
          <w:rFonts w:ascii="Times New Roman" w:hAnsi="Times New Roman" w:cs="Times New Roman"/>
          <w:b/>
          <w:bCs/>
          <w:sz w:val="24"/>
          <w:szCs w:val="24"/>
          <w:u w:val="single"/>
        </w:rPr>
        <w:t>Intermediate</w:t>
      </w:r>
      <w:r w:rsidR="00BA0950">
        <w:rPr>
          <w:rFonts w:ascii="Times New Roman" w:hAnsi="Times New Roman" w:cs="Times New Roman"/>
          <w:b/>
          <w:bCs/>
          <w:sz w:val="24"/>
          <w:szCs w:val="24"/>
        </w:rPr>
        <w:t xml:space="preserve"> Emission rate targets </w:t>
      </w:r>
    </w:p>
    <w:p w:rsidR="00343A39" w:rsidRPr="00DE09B4" w:rsidRDefault="00343A39" w:rsidP="00343A39">
      <w:pPr>
        <w:autoSpaceDE w:val="0"/>
        <w:autoSpaceDN w:val="0"/>
        <w:adjustRightInd w:val="0"/>
        <w:spacing w:after="0" w:line="240" w:lineRule="auto"/>
        <w:rPr>
          <w:rFonts w:ascii="Times New Roman" w:hAnsi="Times New Roman" w:cs="Times New Roman"/>
          <w:i/>
          <w:sz w:val="24"/>
          <w:szCs w:val="24"/>
        </w:rPr>
      </w:pPr>
      <w:r w:rsidRPr="00DE09B4">
        <w:rPr>
          <w:rFonts w:ascii="Times New Roman" w:hAnsi="Times New Roman" w:cs="Times New Roman"/>
          <w:i/>
          <w:sz w:val="24"/>
          <w:szCs w:val="24"/>
        </w:rPr>
        <w:t>Unvented</w:t>
      </w:r>
      <w:r w:rsidR="00BA0950">
        <w:rPr>
          <w:rFonts w:ascii="Times New Roman" w:hAnsi="Times New Roman" w:cs="Times New Roman"/>
          <w:i/>
          <w:sz w:val="24"/>
          <w:szCs w:val="24"/>
        </w:rPr>
        <w:t xml:space="preserve"> PM 2.5</w:t>
      </w:r>
    </w:p>
    <w:p w:rsidR="00343A39" w:rsidRPr="00DE09B4" w:rsidRDefault="00343A39" w:rsidP="00343A39">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Intermediate ERT 1.75 mg/min</w:t>
      </w:r>
    </w:p>
    <w:p w:rsidR="00343A39" w:rsidRPr="00DE09B4" w:rsidRDefault="00343A39" w:rsidP="00343A39">
      <w:pPr>
        <w:autoSpaceDE w:val="0"/>
        <w:autoSpaceDN w:val="0"/>
        <w:adjustRightInd w:val="0"/>
        <w:spacing w:after="0" w:line="240" w:lineRule="auto"/>
        <w:rPr>
          <w:rFonts w:ascii="Times New Roman" w:hAnsi="Times New Roman" w:cs="Times New Roman"/>
          <w:i/>
          <w:sz w:val="24"/>
          <w:szCs w:val="24"/>
        </w:rPr>
      </w:pPr>
      <w:r w:rsidRPr="00DE09B4">
        <w:rPr>
          <w:rFonts w:ascii="Times New Roman" w:hAnsi="Times New Roman" w:cs="Times New Roman"/>
          <w:i/>
          <w:sz w:val="24"/>
          <w:szCs w:val="24"/>
        </w:rPr>
        <w:t>Vented</w:t>
      </w:r>
      <w:r w:rsidR="00BA0950">
        <w:rPr>
          <w:rFonts w:ascii="Times New Roman" w:hAnsi="Times New Roman" w:cs="Times New Roman"/>
          <w:i/>
          <w:sz w:val="24"/>
          <w:szCs w:val="24"/>
        </w:rPr>
        <w:t xml:space="preserve"> PM 2.5</w:t>
      </w:r>
    </w:p>
    <w:p w:rsidR="00343A39" w:rsidRPr="00DE09B4" w:rsidRDefault="00343A39" w:rsidP="00343A39">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Intermediate ERT 7.15 mg/min</w:t>
      </w:r>
    </w:p>
    <w:p w:rsidR="00343A39" w:rsidRPr="00DE09B4" w:rsidRDefault="00343A39" w:rsidP="00343A39">
      <w:pPr>
        <w:autoSpaceDE w:val="0"/>
        <w:autoSpaceDN w:val="0"/>
        <w:adjustRightInd w:val="0"/>
        <w:spacing w:after="0" w:line="240" w:lineRule="auto"/>
        <w:rPr>
          <w:rFonts w:ascii="Times New Roman" w:hAnsi="Times New Roman" w:cs="Times New Roman"/>
          <w:sz w:val="24"/>
          <w:szCs w:val="24"/>
        </w:rPr>
      </w:pPr>
    </w:p>
    <w:p w:rsidR="00343A39" w:rsidRPr="00DE09B4" w:rsidRDefault="00343A39" w:rsidP="00343A39">
      <w:pPr>
        <w:autoSpaceDE w:val="0"/>
        <w:autoSpaceDN w:val="0"/>
        <w:adjustRightInd w:val="0"/>
        <w:spacing w:after="0" w:line="240" w:lineRule="auto"/>
        <w:rPr>
          <w:rFonts w:ascii="Times New Roman" w:hAnsi="Times New Roman" w:cs="Times New Roman"/>
          <w:b/>
          <w:bCs/>
          <w:sz w:val="24"/>
          <w:szCs w:val="24"/>
        </w:rPr>
      </w:pPr>
      <w:r w:rsidRPr="00DE09B4">
        <w:rPr>
          <w:rFonts w:ascii="Times New Roman" w:hAnsi="Times New Roman" w:cs="Times New Roman"/>
          <w:b/>
          <w:bCs/>
          <w:sz w:val="24"/>
          <w:szCs w:val="24"/>
        </w:rPr>
        <w:t xml:space="preserve"> </w:t>
      </w:r>
      <w:r w:rsidRPr="00DE09B4">
        <w:rPr>
          <w:rFonts w:ascii="Times New Roman" w:hAnsi="Times New Roman" w:cs="Times New Roman"/>
          <w:b/>
          <w:bCs/>
          <w:sz w:val="24"/>
          <w:szCs w:val="24"/>
          <w:u w:val="single"/>
        </w:rPr>
        <w:t>Intermediate</w:t>
      </w:r>
      <w:r w:rsidR="00BA0950">
        <w:rPr>
          <w:rFonts w:ascii="Times New Roman" w:hAnsi="Times New Roman" w:cs="Times New Roman"/>
          <w:b/>
          <w:bCs/>
          <w:sz w:val="24"/>
          <w:szCs w:val="24"/>
        </w:rPr>
        <w:t xml:space="preserve"> Emission rate targets </w:t>
      </w:r>
    </w:p>
    <w:p w:rsidR="00343A39" w:rsidRPr="00DE09B4" w:rsidRDefault="00343A39" w:rsidP="00343A39">
      <w:pPr>
        <w:autoSpaceDE w:val="0"/>
        <w:autoSpaceDN w:val="0"/>
        <w:adjustRightInd w:val="0"/>
        <w:spacing w:after="0" w:line="240" w:lineRule="auto"/>
        <w:rPr>
          <w:rFonts w:ascii="Times New Roman" w:hAnsi="Times New Roman" w:cs="Times New Roman"/>
          <w:i/>
          <w:sz w:val="24"/>
          <w:szCs w:val="24"/>
        </w:rPr>
      </w:pPr>
      <w:r w:rsidRPr="00DE09B4">
        <w:rPr>
          <w:rFonts w:ascii="Times New Roman" w:hAnsi="Times New Roman" w:cs="Times New Roman"/>
          <w:i/>
          <w:sz w:val="24"/>
          <w:szCs w:val="24"/>
        </w:rPr>
        <w:t>Unvented</w:t>
      </w:r>
      <w:r w:rsidR="00BA0950">
        <w:rPr>
          <w:rFonts w:ascii="Times New Roman" w:hAnsi="Times New Roman" w:cs="Times New Roman"/>
          <w:i/>
          <w:sz w:val="24"/>
          <w:szCs w:val="24"/>
        </w:rPr>
        <w:t xml:space="preserve"> CO</w:t>
      </w:r>
    </w:p>
    <w:p w:rsidR="00343A39" w:rsidRPr="00DE09B4" w:rsidRDefault="00343A39" w:rsidP="00343A39">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Intermediate ERT 0.35 g/min</w:t>
      </w:r>
    </w:p>
    <w:p w:rsidR="00FA1F5F" w:rsidRPr="00DE09B4" w:rsidRDefault="00343A39" w:rsidP="00343A39">
      <w:pPr>
        <w:autoSpaceDE w:val="0"/>
        <w:autoSpaceDN w:val="0"/>
        <w:adjustRightInd w:val="0"/>
        <w:spacing w:after="0" w:line="240" w:lineRule="auto"/>
        <w:rPr>
          <w:rFonts w:ascii="Times New Roman" w:hAnsi="Times New Roman" w:cs="Times New Roman"/>
          <w:i/>
          <w:sz w:val="24"/>
          <w:szCs w:val="24"/>
        </w:rPr>
      </w:pPr>
      <w:r w:rsidRPr="00DE09B4">
        <w:rPr>
          <w:rFonts w:ascii="Times New Roman" w:hAnsi="Times New Roman" w:cs="Times New Roman"/>
          <w:i/>
          <w:sz w:val="24"/>
          <w:szCs w:val="24"/>
        </w:rPr>
        <w:t>Vented</w:t>
      </w:r>
      <w:r w:rsidR="00BA0950">
        <w:rPr>
          <w:rFonts w:ascii="Times New Roman" w:hAnsi="Times New Roman" w:cs="Times New Roman"/>
          <w:i/>
          <w:sz w:val="24"/>
          <w:szCs w:val="24"/>
        </w:rPr>
        <w:t xml:space="preserve"> CO</w:t>
      </w:r>
    </w:p>
    <w:p w:rsidR="00343A39" w:rsidRPr="00DE09B4" w:rsidRDefault="00343A39" w:rsidP="00343A39">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Intermediate ERT 1.45 g/min</w:t>
      </w:r>
      <w:r w:rsidR="00576870" w:rsidRPr="00DE09B4">
        <w:rPr>
          <w:rFonts w:ascii="Times New Roman" w:hAnsi="Times New Roman" w:cs="Times New Roman"/>
          <w:sz w:val="24"/>
          <w:szCs w:val="24"/>
        </w:rPr>
        <w:t xml:space="preserve"> (pg.36)</w:t>
      </w:r>
    </w:p>
    <w:p w:rsidR="00343A39" w:rsidRDefault="00343A39" w:rsidP="00343A39">
      <w:pPr>
        <w:autoSpaceDE w:val="0"/>
        <w:autoSpaceDN w:val="0"/>
        <w:adjustRightInd w:val="0"/>
        <w:spacing w:after="0" w:line="240" w:lineRule="auto"/>
        <w:rPr>
          <w:rFonts w:ascii="Times New Roman" w:hAnsi="Times New Roman" w:cs="Times New Roman"/>
          <w:sz w:val="24"/>
          <w:szCs w:val="24"/>
        </w:rPr>
      </w:pPr>
    </w:p>
    <w:p w:rsidR="00BA0950" w:rsidRPr="00BA0950" w:rsidRDefault="00BA0950" w:rsidP="00343A39">
      <w:pPr>
        <w:autoSpaceDE w:val="0"/>
        <w:autoSpaceDN w:val="0"/>
        <w:adjustRightInd w:val="0"/>
        <w:spacing w:after="0" w:line="240" w:lineRule="auto"/>
        <w:rPr>
          <w:rFonts w:ascii="Times New Roman" w:hAnsi="Times New Roman" w:cs="Times New Roman"/>
          <w:b/>
          <w:sz w:val="24"/>
          <w:szCs w:val="24"/>
        </w:rPr>
      </w:pPr>
      <w:r w:rsidRPr="00BA0950">
        <w:rPr>
          <w:rFonts w:ascii="Times New Roman" w:hAnsi="Times New Roman" w:cs="Times New Roman"/>
          <w:b/>
          <w:sz w:val="24"/>
          <w:szCs w:val="24"/>
        </w:rPr>
        <w:t>Outdoor and indoor cooking</w:t>
      </w:r>
    </w:p>
    <w:p w:rsidR="00BA0950" w:rsidRPr="00DE09B4" w:rsidRDefault="00BA0950" w:rsidP="00343A39">
      <w:pPr>
        <w:autoSpaceDE w:val="0"/>
        <w:autoSpaceDN w:val="0"/>
        <w:adjustRightInd w:val="0"/>
        <w:spacing w:after="0" w:line="240" w:lineRule="auto"/>
        <w:rPr>
          <w:rFonts w:ascii="Times New Roman" w:hAnsi="Times New Roman" w:cs="Times New Roman"/>
          <w:sz w:val="24"/>
          <w:szCs w:val="24"/>
        </w:rPr>
      </w:pPr>
    </w:p>
    <w:p w:rsidR="00343A39" w:rsidRDefault="00343A39" w:rsidP="00FA1F5F">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There are many areas where outdoor or sem</w:t>
      </w:r>
      <w:r w:rsidR="00576870" w:rsidRPr="00DE09B4">
        <w:rPr>
          <w:rFonts w:ascii="Times New Roman" w:hAnsi="Times New Roman" w:cs="Times New Roman"/>
          <w:sz w:val="24"/>
          <w:szCs w:val="24"/>
        </w:rPr>
        <w:t xml:space="preserve">i-outdoor cooking is prevalent, </w:t>
      </w:r>
      <w:r w:rsidRPr="00DE09B4">
        <w:rPr>
          <w:rFonts w:ascii="Times New Roman" w:hAnsi="Times New Roman" w:cs="Times New Roman"/>
          <w:sz w:val="24"/>
          <w:szCs w:val="24"/>
        </w:rPr>
        <w:t>for which ventilation is clearly greater and woul</w:t>
      </w:r>
      <w:r w:rsidR="00576870" w:rsidRPr="00DE09B4">
        <w:rPr>
          <w:rFonts w:ascii="Times New Roman" w:hAnsi="Times New Roman" w:cs="Times New Roman"/>
          <w:sz w:val="24"/>
          <w:szCs w:val="24"/>
        </w:rPr>
        <w:t xml:space="preserve">d result in a higher percentage </w:t>
      </w:r>
      <w:r w:rsidRPr="00DE09B4">
        <w:rPr>
          <w:rFonts w:ascii="Times New Roman" w:hAnsi="Times New Roman" w:cs="Times New Roman"/>
          <w:sz w:val="24"/>
          <w:szCs w:val="24"/>
        </w:rPr>
        <w:t>of homes meeting the AQGs than those estim</w:t>
      </w:r>
      <w:r w:rsidR="00576870" w:rsidRPr="00DE09B4">
        <w:rPr>
          <w:rFonts w:ascii="Times New Roman" w:hAnsi="Times New Roman" w:cs="Times New Roman"/>
          <w:sz w:val="24"/>
          <w:szCs w:val="24"/>
        </w:rPr>
        <w:t xml:space="preserve">ated for the ERTs. Studies show </w:t>
      </w:r>
      <w:r w:rsidRPr="00DE09B4">
        <w:rPr>
          <w:rFonts w:ascii="Times New Roman" w:hAnsi="Times New Roman" w:cs="Times New Roman"/>
          <w:sz w:val="24"/>
          <w:szCs w:val="24"/>
        </w:rPr>
        <w:t xml:space="preserve">that people cooking outdoors still receive high exposure </w:t>
      </w:r>
      <w:r w:rsidR="00576870" w:rsidRPr="00DE09B4">
        <w:rPr>
          <w:rFonts w:ascii="Times New Roman" w:hAnsi="Times New Roman" w:cs="Times New Roman"/>
          <w:sz w:val="24"/>
          <w:szCs w:val="24"/>
        </w:rPr>
        <w:t xml:space="preserve">when using traditional </w:t>
      </w:r>
      <w:r w:rsidRPr="00DE09B4">
        <w:rPr>
          <w:rFonts w:ascii="Times New Roman" w:hAnsi="Times New Roman" w:cs="Times New Roman"/>
          <w:sz w:val="24"/>
          <w:szCs w:val="24"/>
        </w:rPr>
        <w:t>stoves. Furthermore, as previously disc</w:t>
      </w:r>
      <w:r w:rsidR="00576870" w:rsidRPr="00DE09B4">
        <w:rPr>
          <w:rFonts w:ascii="Times New Roman" w:hAnsi="Times New Roman" w:cs="Times New Roman"/>
          <w:sz w:val="24"/>
          <w:szCs w:val="24"/>
        </w:rPr>
        <w:t xml:space="preserve">ussed, emissions to the outdoor </w:t>
      </w:r>
      <w:r w:rsidRPr="00DE09B4">
        <w:rPr>
          <w:rFonts w:ascii="Times New Roman" w:hAnsi="Times New Roman" w:cs="Times New Roman"/>
          <w:sz w:val="24"/>
          <w:szCs w:val="24"/>
        </w:rPr>
        <w:t>environment reduce community ambient air qua</w:t>
      </w:r>
      <w:r w:rsidR="00576870" w:rsidRPr="00DE09B4">
        <w:rPr>
          <w:rFonts w:ascii="Times New Roman" w:hAnsi="Times New Roman" w:cs="Times New Roman"/>
          <w:sz w:val="24"/>
          <w:szCs w:val="24"/>
        </w:rPr>
        <w:t xml:space="preserve">lity, which in turn contributes </w:t>
      </w:r>
      <w:r w:rsidRPr="00DE09B4">
        <w:rPr>
          <w:rFonts w:ascii="Times New Roman" w:hAnsi="Times New Roman" w:cs="Times New Roman"/>
          <w:sz w:val="24"/>
          <w:szCs w:val="24"/>
        </w:rPr>
        <w:t xml:space="preserve">to lower indoor air quality. Thus, although </w:t>
      </w:r>
      <w:r w:rsidR="00576870" w:rsidRPr="00DE09B4">
        <w:rPr>
          <w:rFonts w:ascii="Times New Roman" w:hAnsi="Times New Roman" w:cs="Times New Roman"/>
          <w:sz w:val="24"/>
          <w:szCs w:val="24"/>
        </w:rPr>
        <w:t xml:space="preserve">the emission rate targets apply </w:t>
      </w:r>
      <w:r w:rsidRPr="00DE09B4">
        <w:rPr>
          <w:rFonts w:ascii="Times New Roman" w:hAnsi="Times New Roman" w:cs="Times New Roman"/>
          <w:sz w:val="24"/>
          <w:szCs w:val="24"/>
        </w:rPr>
        <w:t>to indoor environments, maximizing protection can only be achieved if all</w:t>
      </w:r>
      <w:r w:rsidR="00576870" w:rsidRPr="00DE09B4">
        <w:rPr>
          <w:rFonts w:ascii="Times New Roman" w:hAnsi="Times New Roman" w:cs="Times New Roman"/>
          <w:sz w:val="24"/>
          <w:szCs w:val="24"/>
        </w:rPr>
        <w:t xml:space="preserve"> </w:t>
      </w:r>
      <w:r w:rsidRPr="00DE09B4">
        <w:rPr>
          <w:rFonts w:ascii="Times New Roman" w:hAnsi="Times New Roman" w:cs="Times New Roman"/>
          <w:sz w:val="24"/>
          <w:szCs w:val="24"/>
        </w:rPr>
        <w:t>devices meet these targets regardless of indoor or outdoor usage.</w:t>
      </w:r>
      <w:r w:rsidR="00576870" w:rsidRPr="00DE09B4">
        <w:rPr>
          <w:rFonts w:ascii="Times New Roman" w:hAnsi="Times New Roman" w:cs="Times New Roman"/>
          <w:sz w:val="24"/>
          <w:szCs w:val="24"/>
        </w:rPr>
        <w:t xml:space="preserve"> (pg. 39)</w:t>
      </w:r>
    </w:p>
    <w:p w:rsidR="00BA0950" w:rsidRPr="00BA0950" w:rsidRDefault="00BA0950" w:rsidP="00BA0950">
      <w:pPr>
        <w:autoSpaceDE w:val="0"/>
        <w:autoSpaceDN w:val="0"/>
        <w:adjustRightInd w:val="0"/>
        <w:spacing w:after="0" w:line="240" w:lineRule="auto"/>
        <w:rPr>
          <w:rFonts w:ascii="Times New Roman" w:hAnsi="Times New Roman" w:cs="Times New Roman"/>
          <w:sz w:val="24"/>
          <w:szCs w:val="24"/>
        </w:rPr>
      </w:pPr>
    </w:p>
    <w:p w:rsidR="00FA1F5F" w:rsidRDefault="00BA0950" w:rsidP="00576870">
      <w:pPr>
        <w:autoSpaceDE w:val="0"/>
        <w:autoSpaceDN w:val="0"/>
        <w:adjustRightInd w:val="0"/>
        <w:spacing w:after="0" w:line="240" w:lineRule="auto"/>
        <w:rPr>
          <w:rFonts w:ascii="Times New Roman" w:hAnsi="Times New Roman" w:cs="Times New Roman"/>
          <w:b/>
          <w:sz w:val="24"/>
          <w:szCs w:val="24"/>
        </w:rPr>
      </w:pPr>
      <w:r w:rsidRPr="00BA0950">
        <w:rPr>
          <w:rFonts w:ascii="Times New Roman" w:hAnsi="Times New Roman" w:cs="Times New Roman"/>
          <w:b/>
          <w:sz w:val="24"/>
          <w:szCs w:val="24"/>
        </w:rPr>
        <w:t>The need for chimneys</w:t>
      </w:r>
    </w:p>
    <w:p w:rsidR="00BA0950" w:rsidRPr="00BA0950" w:rsidRDefault="00BA0950" w:rsidP="00576870">
      <w:pPr>
        <w:autoSpaceDE w:val="0"/>
        <w:autoSpaceDN w:val="0"/>
        <w:adjustRightInd w:val="0"/>
        <w:spacing w:after="0" w:line="240" w:lineRule="auto"/>
        <w:rPr>
          <w:rFonts w:ascii="Times New Roman" w:hAnsi="Times New Roman" w:cs="Times New Roman"/>
          <w:b/>
          <w:sz w:val="24"/>
          <w:szCs w:val="24"/>
        </w:rPr>
      </w:pPr>
    </w:p>
    <w:p w:rsidR="00576870" w:rsidRPr="00DE09B4" w:rsidRDefault="00576870" w:rsidP="00576870">
      <w:pPr>
        <w:autoSpaceDE w:val="0"/>
        <w:autoSpaceDN w:val="0"/>
        <w:adjustRightInd w:val="0"/>
        <w:spacing w:after="0" w:line="240" w:lineRule="auto"/>
        <w:rPr>
          <w:rFonts w:ascii="Times New Roman" w:hAnsi="Times New Roman" w:cs="Times New Roman"/>
          <w:i/>
          <w:iCs/>
          <w:sz w:val="24"/>
          <w:szCs w:val="24"/>
        </w:rPr>
      </w:pPr>
      <w:r w:rsidRPr="00DE09B4">
        <w:rPr>
          <w:rFonts w:ascii="Times New Roman" w:hAnsi="Times New Roman" w:cs="Times New Roman"/>
          <w:sz w:val="24"/>
          <w:szCs w:val="24"/>
        </w:rPr>
        <w:t xml:space="preserve">Evidence provided in the systematic review of </w:t>
      </w:r>
      <w:r w:rsidRPr="00DE09B4">
        <w:rPr>
          <w:rFonts w:ascii="Times New Roman" w:hAnsi="Times New Roman" w:cs="Times New Roman"/>
          <w:i/>
          <w:iCs/>
          <w:sz w:val="24"/>
          <w:szCs w:val="24"/>
        </w:rPr>
        <w:t xml:space="preserve">Intervention impacts on HAP and exposure </w:t>
      </w:r>
      <w:r w:rsidRPr="00DE09B4">
        <w:rPr>
          <w:rFonts w:ascii="Times New Roman" w:hAnsi="Times New Roman" w:cs="Times New Roman"/>
          <w:sz w:val="24"/>
          <w:szCs w:val="24"/>
        </w:rPr>
        <w:t>(Review 6) demonstrated that despite achieving large percentage</w:t>
      </w:r>
      <w:r w:rsidRPr="00DE09B4">
        <w:rPr>
          <w:rFonts w:ascii="Times New Roman" w:hAnsi="Times New Roman" w:cs="Times New Roman"/>
          <w:i/>
          <w:iCs/>
          <w:sz w:val="24"/>
          <w:szCs w:val="24"/>
        </w:rPr>
        <w:t xml:space="preserve"> </w:t>
      </w:r>
      <w:r w:rsidRPr="00DE09B4">
        <w:rPr>
          <w:rFonts w:ascii="Times New Roman" w:hAnsi="Times New Roman" w:cs="Times New Roman"/>
          <w:sz w:val="24"/>
          <w:szCs w:val="24"/>
        </w:rPr>
        <w:t>reductions of PM2.5 compared to baseline (solid fuels with traditional stoves)</w:t>
      </w:r>
      <w:r w:rsidRPr="00DE09B4">
        <w:rPr>
          <w:rFonts w:ascii="Times New Roman" w:hAnsi="Times New Roman" w:cs="Times New Roman"/>
          <w:i/>
          <w:iCs/>
          <w:sz w:val="24"/>
          <w:szCs w:val="24"/>
        </w:rPr>
        <w:t xml:space="preserve"> </w:t>
      </w:r>
      <w:r w:rsidRPr="00DE09B4">
        <w:rPr>
          <w:rFonts w:ascii="Times New Roman" w:hAnsi="Times New Roman" w:cs="Times New Roman"/>
          <w:sz w:val="24"/>
          <w:szCs w:val="24"/>
        </w:rPr>
        <w:t xml:space="preserve">none of the improved solid fuel stoves reviewed </w:t>
      </w:r>
      <w:r w:rsidRPr="00DE09B4">
        <w:rPr>
          <w:rFonts w:ascii="Times New Roman" w:hAnsi="Times New Roman" w:cs="Times New Roman"/>
          <w:sz w:val="24"/>
          <w:szCs w:val="24"/>
        </w:rPr>
        <w:lastRenderedPageBreak/>
        <w:t>reached the WHO IT-1 for</w:t>
      </w:r>
      <w:r w:rsidRPr="00DE09B4">
        <w:rPr>
          <w:rFonts w:ascii="Times New Roman" w:hAnsi="Times New Roman" w:cs="Times New Roman"/>
          <w:i/>
          <w:iCs/>
          <w:sz w:val="24"/>
          <w:szCs w:val="24"/>
        </w:rPr>
        <w:t xml:space="preserve"> </w:t>
      </w:r>
      <w:r w:rsidRPr="00DE09B4">
        <w:rPr>
          <w:rFonts w:ascii="Times New Roman" w:hAnsi="Times New Roman" w:cs="Times New Roman"/>
          <w:sz w:val="24"/>
          <w:szCs w:val="24"/>
        </w:rPr>
        <w:t xml:space="preserve">annual average kitchen PM2.5 (and therefore did not meet the AQG). </w:t>
      </w:r>
      <w:r w:rsidRPr="00BA0950">
        <w:rPr>
          <w:rFonts w:ascii="Times New Roman" w:hAnsi="Times New Roman" w:cs="Times New Roman"/>
          <w:sz w:val="24"/>
          <w:szCs w:val="24"/>
        </w:rPr>
        <w:t>A few</w:t>
      </w:r>
      <w:r w:rsidRPr="00BA0950">
        <w:rPr>
          <w:rFonts w:ascii="Times New Roman" w:hAnsi="Times New Roman" w:cs="Times New Roman"/>
          <w:iCs/>
          <w:sz w:val="24"/>
          <w:szCs w:val="24"/>
        </w:rPr>
        <w:t xml:space="preserve"> </w:t>
      </w:r>
      <w:r w:rsidRPr="00BA0950">
        <w:rPr>
          <w:rFonts w:ascii="Times New Roman" w:hAnsi="Times New Roman" w:cs="Times New Roman"/>
          <w:sz w:val="24"/>
          <w:szCs w:val="24"/>
        </w:rPr>
        <w:t>types of vented (chimney) stoves did reach levels close to WHO IT-1, in the</w:t>
      </w:r>
      <w:r w:rsidRPr="00BA0950">
        <w:rPr>
          <w:rFonts w:ascii="Times New Roman" w:hAnsi="Times New Roman" w:cs="Times New Roman"/>
          <w:iCs/>
          <w:sz w:val="24"/>
          <w:szCs w:val="24"/>
        </w:rPr>
        <w:t xml:space="preserve"> </w:t>
      </w:r>
      <w:r w:rsidRPr="00BA0950">
        <w:rPr>
          <w:rFonts w:ascii="Times New Roman" w:hAnsi="Times New Roman" w:cs="Times New Roman"/>
          <w:sz w:val="24"/>
          <w:szCs w:val="24"/>
        </w:rPr>
        <w:t xml:space="preserve">range of 40–60 </w:t>
      </w:r>
      <w:proofErr w:type="spellStart"/>
      <w:r w:rsidRPr="00BA0950">
        <w:rPr>
          <w:rFonts w:ascii="Times New Roman" w:hAnsi="Times New Roman" w:cs="Times New Roman"/>
          <w:sz w:val="24"/>
          <w:szCs w:val="24"/>
        </w:rPr>
        <w:t>μg</w:t>
      </w:r>
      <w:proofErr w:type="spellEnd"/>
      <w:r w:rsidRPr="00BA0950">
        <w:rPr>
          <w:rFonts w:ascii="Times New Roman" w:hAnsi="Times New Roman" w:cs="Times New Roman"/>
          <w:sz w:val="24"/>
          <w:szCs w:val="24"/>
        </w:rPr>
        <w:t>/m3. These findings can be used as a guide to the current</w:t>
      </w:r>
      <w:r w:rsidRPr="00BA0950">
        <w:rPr>
          <w:rFonts w:ascii="Times New Roman" w:hAnsi="Times New Roman" w:cs="Times New Roman"/>
          <w:iCs/>
          <w:sz w:val="24"/>
          <w:szCs w:val="24"/>
        </w:rPr>
        <w:t xml:space="preserve"> </w:t>
      </w:r>
      <w:r w:rsidRPr="00BA0950">
        <w:rPr>
          <w:rFonts w:ascii="Times New Roman" w:hAnsi="Times New Roman" w:cs="Times New Roman"/>
          <w:sz w:val="24"/>
          <w:szCs w:val="24"/>
        </w:rPr>
        <w:t>in-field performance of a range of technology and fuel options.</w:t>
      </w:r>
      <w:r w:rsidR="00FF0937" w:rsidRPr="00DE09B4">
        <w:rPr>
          <w:rFonts w:ascii="Times New Roman" w:hAnsi="Times New Roman" w:cs="Times New Roman"/>
          <w:sz w:val="24"/>
          <w:szCs w:val="24"/>
        </w:rPr>
        <w:t xml:space="preserve"> (pg.45)</w:t>
      </w:r>
    </w:p>
    <w:p w:rsidR="00AC3B33" w:rsidRPr="00DE09B4" w:rsidRDefault="00AC3B33" w:rsidP="00AC3B33">
      <w:pPr>
        <w:autoSpaceDE w:val="0"/>
        <w:autoSpaceDN w:val="0"/>
        <w:adjustRightInd w:val="0"/>
        <w:spacing w:after="0" w:line="240" w:lineRule="auto"/>
        <w:rPr>
          <w:rFonts w:ascii="Times New Roman" w:hAnsi="Times New Roman" w:cs="Times New Roman"/>
          <w:sz w:val="24"/>
          <w:szCs w:val="24"/>
        </w:rPr>
      </w:pPr>
    </w:p>
    <w:p w:rsidR="00AC3B33" w:rsidRDefault="00BA0950" w:rsidP="00AC3B33">
      <w:pPr>
        <w:autoSpaceDE w:val="0"/>
        <w:autoSpaceDN w:val="0"/>
        <w:adjustRightInd w:val="0"/>
        <w:spacing w:after="0" w:line="240" w:lineRule="auto"/>
        <w:rPr>
          <w:rFonts w:ascii="Times New Roman" w:hAnsi="Times New Roman" w:cs="Times New Roman"/>
          <w:b/>
          <w:sz w:val="24"/>
          <w:szCs w:val="24"/>
        </w:rPr>
      </w:pPr>
      <w:r w:rsidRPr="00BA0950">
        <w:rPr>
          <w:rFonts w:ascii="Times New Roman" w:hAnsi="Times New Roman" w:cs="Times New Roman"/>
          <w:b/>
          <w:sz w:val="24"/>
          <w:szCs w:val="24"/>
        </w:rPr>
        <w:t>Multiple stove use</w:t>
      </w:r>
      <w:r w:rsidR="00E86340">
        <w:rPr>
          <w:rFonts w:ascii="Times New Roman" w:hAnsi="Times New Roman" w:cs="Times New Roman"/>
          <w:b/>
          <w:sz w:val="24"/>
          <w:szCs w:val="24"/>
        </w:rPr>
        <w:t xml:space="preserve"> continues</w:t>
      </w:r>
    </w:p>
    <w:p w:rsidR="00BA0950" w:rsidRPr="00BA0950" w:rsidRDefault="00BA0950" w:rsidP="00AC3B33">
      <w:pPr>
        <w:autoSpaceDE w:val="0"/>
        <w:autoSpaceDN w:val="0"/>
        <w:adjustRightInd w:val="0"/>
        <w:spacing w:after="0" w:line="240" w:lineRule="auto"/>
        <w:rPr>
          <w:rFonts w:ascii="Times New Roman" w:hAnsi="Times New Roman" w:cs="Times New Roman"/>
          <w:b/>
          <w:sz w:val="24"/>
          <w:szCs w:val="24"/>
        </w:rPr>
      </w:pPr>
    </w:p>
    <w:p w:rsidR="00FE5B5C" w:rsidRDefault="00576870" w:rsidP="0057687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A common finding was that many (if not most) households continue to use the existing device or fuel when a new one is introduced, for cultural and practical reasons such as lack of affordability and uncertain supply in the case of a commercial fuel such as LPG. An important conclusion therefore was that for</w:t>
      </w:r>
      <w:r w:rsidR="00FA1F5F" w:rsidRPr="00DE09B4">
        <w:rPr>
          <w:rFonts w:ascii="Times New Roman" w:hAnsi="Times New Roman" w:cs="Times New Roman"/>
          <w:sz w:val="24"/>
          <w:szCs w:val="24"/>
        </w:rPr>
        <w:t xml:space="preserve"> </w:t>
      </w:r>
      <w:r w:rsidRPr="00DE09B4">
        <w:rPr>
          <w:rFonts w:ascii="Times New Roman" w:hAnsi="Times New Roman" w:cs="Times New Roman"/>
          <w:sz w:val="24"/>
          <w:szCs w:val="24"/>
        </w:rPr>
        <w:t>most households, the transition to exclusive use of very low emission devices and fuels will occur over time, with a progressive shift towards a higher proportion</w:t>
      </w:r>
      <w:r w:rsidR="00FF0937" w:rsidRPr="00DE09B4">
        <w:rPr>
          <w:rFonts w:ascii="Times New Roman" w:hAnsi="Times New Roman" w:cs="Times New Roman"/>
          <w:sz w:val="24"/>
          <w:szCs w:val="24"/>
        </w:rPr>
        <w:t xml:space="preserve"> </w:t>
      </w:r>
      <w:r w:rsidRPr="00DE09B4">
        <w:rPr>
          <w:rFonts w:ascii="Times New Roman" w:hAnsi="Times New Roman" w:cs="Times New Roman"/>
          <w:sz w:val="24"/>
          <w:szCs w:val="24"/>
        </w:rPr>
        <w:t>of energy usage provided by the newer, cleaner options. It is also the case that in more economically challenging conditions, households may revert to increased use of traditional stoves and fuels.</w:t>
      </w:r>
      <w:r w:rsidR="00FF0937" w:rsidRPr="00DE09B4">
        <w:rPr>
          <w:rFonts w:ascii="Times New Roman" w:hAnsi="Times New Roman" w:cs="Times New Roman"/>
          <w:sz w:val="24"/>
          <w:szCs w:val="24"/>
        </w:rPr>
        <w:t xml:space="preserve"> (pg.46)</w:t>
      </w:r>
    </w:p>
    <w:p w:rsidR="00F33BFD" w:rsidRDefault="00F33BFD" w:rsidP="00F33BFD">
      <w:pPr>
        <w:pStyle w:val="ListParagraph"/>
        <w:autoSpaceDE w:val="0"/>
        <w:autoSpaceDN w:val="0"/>
        <w:adjustRightInd w:val="0"/>
        <w:spacing w:after="0" w:line="240" w:lineRule="auto"/>
        <w:rPr>
          <w:rFonts w:ascii="Times New Roman" w:hAnsi="Times New Roman" w:cs="Times New Roman"/>
          <w:sz w:val="24"/>
          <w:szCs w:val="24"/>
        </w:rPr>
      </w:pPr>
    </w:p>
    <w:p w:rsidR="00F33BFD" w:rsidRDefault="00E86340" w:rsidP="00F33B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 achievable</w:t>
      </w:r>
    </w:p>
    <w:p w:rsidR="00F33BFD" w:rsidRPr="00F33BFD" w:rsidRDefault="00F33BFD" w:rsidP="00F33BFD">
      <w:pPr>
        <w:autoSpaceDE w:val="0"/>
        <w:autoSpaceDN w:val="0"/>
        <w:adjustRightInd w:val="0"/>
        <w:spacing w:after="0" w:line="240" w:lineRule="auto"/>
        <w:rPr>
          <w:rFonts w:ascii="Times New Roman" w:hAnsi="Times New Roman" w:cs="Times New Roman"/>
          <w:b/>
          <w:sz w:val="24"/>
          <w:szCs w:val="24"/>
        </w:rPr>
      </w:pPr>
    </w:p>
    <w:p w:rsidR="00FF0937" w:rsidRDefault="00FF0937" w:rsidP="00FF09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The systematic review of the impacts of interventions found that most of these achieved CO levels below the 24-hr WHO guideline of 7 mg/m3. (pg. 47)</w:t>
      </w:r>
    </w:p>
    <w:p w:rsidR="00F33BFD" w:rsidRDefault="00F33BFD" w:rsidP="00F33BFD">
      <w:pPr>
        <w:pStyle w:val="ListParagraph"/>
        <w:autoSpaceDE w:val="0"/>
        <w:autoSpaceDN w:val="0"/>
        <w:adjustRightInd w:val="0"/>
        <w:spacing w:after="0" w:line="240" w:lineRule="auto"/>
        <w:rPr>
          <w:rFonts w:ascii="Times New Roman" w:hAnsi="Times New Roman" w:cs="Times New Roman"/>
          <w:sz w:val="24"/>
          <w:szCs w:val="24"/>
        </w:rPr>
      </w:pPr>
    </w:p>
    <w:p w:rsidR="00F33BFD" w:rsidRPr="00F33BFD" w:rsidRDefault="00F33BFD" w:rsidP="00F33BFD">
      <w:pPr>
        <w:autoSpaceDE w:val="0"/>
        <w:autoSpaceDN w:val="0"/>
        <w:adjustRightInd w:val="0"/>
        <w:spacing w:after="0" w:line="240" w:lineRule="auto"/>
        <w:rPr>
          <w:rFonts w:ascii="Times New Roman" w:hAnsi="Times New Roman" w:cs="Times New Roman"/>
          <w:b/>
          <w:sz w:val="24"/>
          <w:szCs w:val="24"/>
        </w:rPr>
      </w:pPr>
      <w:r w:rsidRPr="00F33BFD">
        <w:rPr>
          <w:rFonts w:ascii="Times New Roman" w:hAnsi="Times New Roman" w:cs="Times New Roman"/>
          <w:b/>
          <w:sz w:val="24"/>
          <w:szCs w:val="24"/>
        </w:rPr>
        <w:t xml:space="preserve">Coal </w:t>
      </w:r>
      <w:r w:rsidR="00E86340">
        <w:rPr>
          <w:rFonts w:ascii="Times New Roman" w:hAnsi="Times New Roman" w:cs="Times New Roman"/>
          <w:b/>
          <w:sz w:val="24"/>
          <w:szCs w:val="24"/>
        </w:rPr>
        <w:t xml:space="preserve">use </w:t>
      </w:r>
      <w:r w:rsidRPr="00F33BFD">
        <w:rPr>
          <w:rFonts w:ascii="Times New Roman" w:hAnsi="Times New Roman" w:cs="Times New Roman"/>
          <w:b/>
          <w:sz w:val="24"/>
          <w:szCs w:val="24"/>
        </w:rPr>
        <w:t>not advisable</w:t>
      </w:r>
    </w:p>
    <w:p w:rsidR="00F33BFD" w:rsidRPr="00F33BFD" w:rsidRDefault="00F33BFD" w:rsidP="00F33BFD">
      <w:pPr>
        <w:autoSpaceDE w:val="0"/>
        <w:autoSpaceDN w:val="0"/>
        <w:adjustRightInd w:val="0"/>
        <w:spacing w:after="0" w:line="240" w:lineRule="auto"/>
        <w:rPr>
          <w:rFonts w:ascii="Times New Roman" w:hAnsi="Times New Roman" w:cs="Times New Roman"/>
          <w:sz w:val="24"/>
          <w:szCs w:val="24"/>
        </w:rPr>
      </w:pPr>
    </w:p>
    <w:p w:rsidR="00FF0937" w:rsidRDefault="00FF0937" w:rsidP="00FF09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E86340">
        <w:rPr>
          <w:rFonts w:ascii="Times New Roman" w:hAnsi="Times New Roman" w:cs="Times New Roman"/>
          <w:bCs/>
          <w:sz w:val="24"/>
          <w:szCs w:val="24"/>
        </w:rPr>
        <w:t>Scoping question 3:</w:t>
      </w:r>
      <w:r w:rsidRPr="00DE09B4">
        <w:rPr>
          <w:rFonts w:ascii="Times New Roman" w:hAnsi="Times New Roman" w:cs="Times New Roman"/>
          <w:b/>
          <w:bCs/>
          <w:sz w:val="24"/>
          <w:szCs w:val="24"/>
        </w:rPr>
        <w:t xml:space="preserve"> </w:t>
      </w:r>
      <w:r w:rsidRPr="00DE09B4">
        <w:rPr>
          <w:rFonts w:ascii="Times New Roman" w:hAnsi="Times New Roman" w:cs="Times New Roman"/>
          <w:sz w:val="24"/>
          <w:szCs w:val="24"/>
        </w:rPr>
        <w:t>Should coal be used as a household fuel?</w:t>
      </w:r>
    </w:p>
    <w:p w:rsidR="00FF0937" w:rsidRPr="00F33BFD" w:rsidRDefault="00FF0937" w:rsidP="00FF0937">
      <w:pPr>
        <w:pStyle w:val="ListParagraph"/>
        <w:autoSpaceDE w:val="0"/>
        <w:autoSpaceDN w:val="0"/>
        <w:adjustRightInd w:val="0"/>
        <w:spacing w:after="0" w:line="240" w:lineRule="auto"/>
        <w:rPr>
          <w:rFonts w:ascii="Times New Roman" w:hAnsi="Times New Roman" w:cs="Times New Roman"/>
          <w:bCs/>
          <w:sz w:val="24"/>
          <w:szCs w:val="24"/>
        </w:rPr>
      </w:pPr>
      <w:r w:rsidRPr="00F33BFD">
        <w:rPr>
          <w:rFonts w:ascii="Times New Roman" w:hAnsi="Times New Roman" w:cs="Times New Roman"/>
          <w:bCs/>
          <w:sz w:val="24"/>
          <w:szCs w:val="24"/>
        </w:rPr>
        <w:t xml:space="preserve">Recommendation </w:t>
      </w:r>
    </w:p>
    <w:p w:rsidR="00FA1F5F" w:rsidRPr="00F33BFD" w:rsidRDefault="00FA1F5F" w:rsidP="00FF0937">
      <w:pPr>
        <w:pStyle w:val="ListParagraph"/>
        <w:autoSpaceDE w:val="0"/>
        <w:autoSpaceDN w:val="0"/>
        <w:adjustRightInd w:val="0"/>
        <w:spacing w:after="0" w:line="240" w:lineRule="auto"/>
        <w:rPr>
          <w:rFonts w:ascii="Times New Roman" w:hAnsi="Times New Roman" w:cs="Times New Roman"/>
          <w:bCs/>
          <w:sz w:val="24"/>
          <w:szCs w:val="24"/>
        </w:rPr>
      </w:pPr>
      <w:r w:rsidRPr="00F33BFD">
        <w:rPr>
          <w:rFonts w:ascii="Times New Roman" w:hAnsi="Times New Roman" w:cs="Times New Roman"/>
          <w:bCs/>
          <w:sz w:val="24"/>
          <w:szCs w:val="24"/>
        </w:rPr>
        <w:t>Strength of recommendation</w:t>
      </w:r>
      <w:r w:rsidR="00F33BFD">
        <w:rPr>
          <w:rFonts w:ascii="Times New Roman" w:hAnsi="Times New Roman" w:cs="Times New Roman"/>
          <w:bCs/>
          <w:sz w:val="24"/>
          <w:szCs w:val="24"/>
        </w:rPr>
        <w:t>:</w:t>
      </w:r>
      <w:r w:rsidRPr="00F33BFD">
        <w:rPr>
          <w:rFonts w:ascii="Times New Roman" w:hAnsi="Times New Roman" w:cs="Times New Roman"/>
          <w:bCs/>
          <w:sz w:val="24"/>
          <w:szCs w:val="24"/>
        </w:rPr>
        <w:t xml:space="preserve"> Strong</w:t>
      </w:r>
    </w:p>
    <w:p w:rsidR="00FF0937" w:rsidRPr="00DE09B4" w:rsidRDefault="00FF0937" w:rsidP="00FF0937">
      <w:pPr>
        <w:pStyle w:val="ListParagraph"/>
        <w:autoSpaceDE w:val="0"/>
        <w:autoSpaceDN w:val="0"/>
        <w:adjustRightInd w:val="0"/>
        <w:spacing w:after="0" w:line="240" w:lineRule="auto"/>
        <w:rPr>
          <w:rFonts w:ascii="Times New Roman" w:hAnsi="Times New Roman" w:cs="Times New Roman"/>
          <w:sz w:val="24"/>
          <w:szCs w:val="24"/>
        </w:rPr>
      </w:pPr>
    </w:p>
    <w:p w:rsidR="002C1B0D" w:rsidRPr="00DE09B4" w:rsidRDefault="00FF0937" w:rsidP="00FF0937">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 xml:space="preserve">Unprocessed coal should not be used as a household fuel. </w:t>
      </w:r>
    </w:p>
    <w:p w:rsidR="00FF0937" w:rsidRPr="00DE09B4" w:rsidRDefault="00FF0937" w:rsidP="00FF0937">
      <w:pPr>
        <w:autoSpaceDE w:val="0"/>
        <w:autoSpaceDN w:val="0"/>
        <w:adjustRightInd w:val="0"/>
        <w:spacing w:after="0" w:line="240" w:lineRule="auto"/>
        <w:rPr>
          <w:rFonts w:ascii="Times New Roman" w:hAnsi="Times New Roman" w:cs="Times New Roman"/>
          <w:sz w:val="24"/>
          <w:szCs w:val="24"/>
        </w:rPr>
      </w:pPr>
    </w:p>
    <w:p w:rsidR="00FF0937" w:rsidRPr="00E86340" w:rsidRDefault="00FF0937" w:rsidP="00FF0937">
      <w:pPr>
        <w:autoSpaceDE w:val="0"/>
        <w:autoSpaceDN w:val="0"/>
        <w:adjustRightInd w:val="0"/>
        <w:spacing w:after="0" w:line="240" w:lineRule="auto"/>
        <w:rPr>
          <w:rFonts w:ascii="Times New Roman" w:hAnsi="Times New Roman" w:cs="Times New Roman"/>
          <w:bCs/>
          <w:sz w:val="24"/>
          <w:szCs w:val="24"/>
        </w:rPr>
      </w:pPr>
      <w:r w:rsidRPr="00E86340">
        <w:rPr>
          <w:rFonts w:ascii="Times New Roman" w:hAnsi="Times New Roman" w:cs="Times New Roman"/>
          <w:bCs/>
          <w:sz w:val="24"/>
          <w:szCs w:val="24"/>
        </w:rPr>
        <w:t>Summary of evidence</w:t>
      </w:r>
    </w:p>
    <w:p w:rsidR="00FF0937" w:rsidRPr="00DE09B4" w:rsidRDefault="00FF0937" w:rsidP="00FF0937">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The evidence for this recommendation is drawn from the following sources:</w:t>
      </w:r>
    </w:p>
    <w:p w:rsidR="00FF0937" w:rsidRPr="00DE09B4" w:rsidRDefault="00DE09B4" w:rsidP="00FF09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w:t>
      </w:r>
      <w:r w:rsidR="00FF0937" w:rsidRPr="00DE09B4">
        <w:rPr>
          <w:rFonts w:ascii="Times New Roman" w:hAnsi="Times New Roman" w:cs="Times New Roman"/>
          <w:sz w:val="24"/>
          <w:szCs w:val="24"/>
        </w:rPr>
        <w:t>ssessment by IARC of the carcinogenicity of emissions from household combustion of coal;</w:t>
      </w:r>
    </w:p>
    <w:p w:rsidR="00FF0937" w:rsidRDefault="00FF0937" w:rsidP="00FF0937">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b) systematic reviews of risk of specific outcomes with household use of coal, and evidence from the IER function relating PM2.5 exposure level to lung cancer risk; systematic review of health risks associated with toxic contaminants in coal. (pg. 49)</w:t>
      </w:r>
    </w:p>
    <w:p w:rsidR="00F33BFD" w:rsidRPr="00F33BFD" w:rsidRDefault="00F33BFD" w:rsidP="00FF0937">
      <w:pPr>
        <w:autoSpaceDE w:val="0"/>
        <w:autoSpaceDN w:val="0"/>
        <w:adjustRightInd w:val="0"/>
        <w:spacing w:after="0" w:line="240" w:lineRule="auto"/>
        <w:rPr>
          <w:rFonts w:ascii="Times New Roman" w:hAnsi="Times New Roman" w:cs="Times New Roman"/>
          <w:b/>
          <w:sz w:val="24"/>
          <w:szCs w:val="24"/>
        </w:rPr>
      </w:pPr>
    </w:p>
    <w:p w:rsidR="00F33BFD" w:rsidRPr="00F33BFD" w:rsidRDefault="00F33BFD" w:rsidP="00FF0937">
      <w:pPr>
        <w:autoSpaceDE w:val="0"/>
        <w:autoSpaceDN w:val="0"/>
        <w:adjustRightInd w:val="0"/>
        <w:spacing w:after="0" w:line="240" w:lineRule="auto"/>
        <w:rPr>
          <w:rFonts w:ascii="Times New Roman" w:hAnsi="Times New Roman" w:cs="Times New Roman"/>
          <w:b/>
          <w:sz w:val="24"/>
          <w:szCs w:val="24"/>
        </w:rPr>
      </w:pPr>
      <w:r w:rsidRPr="00F33BFD">
        <w:rPr>
          <w:rFonts w:ascii="Times New Roman" w:hAnsi="Times New Roman" w:cs="Times New Roman"/>
          <w:b/>
          <w:sz w:val="24"/>
          <w:szCs w:val="24"/>
        </w:rPr>
        <w:t xml:space="preserve">Kerosene </w:t>
      </w:r>
      <w:r w:rsidR="00E86340">
        <w:rPr>
          <w:rFonts w:ascii="Times New Roman" w:hAnsi="Times New Roman" w:cs="Times New Roman"/>
          <w:b/>
          <w:sz w:val="24"/>
          <w:szCs w:val="24"/>
        </w:rPr>
        <w:t xml:space="preserve">use </w:t>
      </w:r>
      <w:r w:rsidRPr="00F33BFD">
        <w:rPr>
          <w:rFonts w:ascii="Times New Roman" w:hAnsi="Times New Roman" w:cs="Times New Roman"/>
          <w:b/>
          <w:sz w:val="24"/>
          <w:szCs w:val="24"/>
        </w:rPr>
        <w:t>is discouraged</w:t>
      </w:r>
    </w:p>
    <w:p w:rsidR="00FF0937" w:rsidRPr="00DE09B4" w:rsidRDefault="00FF0937" w:rsidP="00FF0937">
      <w:pPr>
        <w:autoSpaceDE w:val="0"/>
        <w:autoSpaceDN w:val="0"/>
        <w:adjustRightInd w:val="0"/>
        <w:spacing w:after="0" w:line="240" w:lineRule="auto"/>
        <w:rPr>
          <w:rFonts w:ascii="Times New Roman" w:hAnsi="Times New Roman" w:cs="Times New Roman"/>
          <w:sz w:val="24"/>
          <w:szCs w:val="24"/>
        </w:rPr>
      </w:pPr>
    </w:p>
    <w:p w:rsidR="00FF0937" w:rsidRPr="00DE09B4" w:rsidRDefault="00FF0937" w:rsidP="00FF093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E86340">
        <w:rPr>
          <w:rFonts w:ascii="Times New Roman" w:hAnsi="Times New Roman" w:cs="Times New Roman"/>
          <w:bCs/>
          <w:sz w:val="24"/>
          <w:szCs w:val="24"/>
        </w:rPr>
        <w:t>Scoping question 4:</w:t>
      </w:r>
      <w:r w:rsidRPr="00DE09B4">
        <w:rPr>
          <w:rFonts w:ascii="Times New Roman" w:hAnsi="Times New Roman" w:cs="Times New Roman"/>
          <w:b/>
          <w:bCs/>
          <w:sz w:val="24"/>
          <w:szCs w:val="24"/>
        </w:rPr>
        <w:t xml:space="preserve"> </w:t>
      </w:r>
      <w:r w:rsidRPr="00DE09B4">
        <w:rPr>
          <w:rFonts w:ascii="Times New Roman" w:hAnsi="Times New Roman" w:cs="Times New Roman"/>
          <w:sz w:val="24"/>
          <w:szCs w:val="24"/>
        </w:rPr>
        <w:t>Should kerosene be used as a household fuel?</w:t>
      </w:r>
    </w:p>
    <w:p w:rsidR="00FF0937" w:rsidRPr="00F33BFD" w:rsidRDefault="00FF0937" w:rsidP="00FF0937">
      <w:pPr>
        <w:autoSpaceDE w:val="0"/>
        <w:autoSpaceDN w:val="0"/>
        <w:adjustRightInd w:val="0"/>
        <w:spacing w:after="0" w:line="240" w:lineRule="auto"/>
        <w:rPr>
          <w:rFonts w:ascii="Times New Roman" w:hAnsi="Times New Roman" w:cs="Times New Roman"/>
          <w:bCs/>
          <w:sz w:val="24"/>
          <w:szCs w:val="24"/>
        </w:rPr>
      </w:pPr>
      <w:r w:rsidRPr="00F33BFD">
        <w:rPr>
          <w:rFonts w:ascii="Times New Roman" w:hAnsi="Times New Roman" w:cs="Times New Roman"/>
          <w:bCs/>
          <w:sz w:val="24"/>
          <w:szCs w:val="24"/>
        </w:rPr>
        <w:t xml:space="preserve">Recommendation </w:t>
      </w:r>
    </w:p>
    <w:p w:rsidR="00FF0937" w:rsidRPr="00F33BFD" w:rsidRDefault="00FF0937" w:rsidP="00FF0937">
      <w:pPr>
        <w:autoSpaceDE w:val="0"/>
        <w:autoSpaceDN w:val="0"/>
        <w:adjustRightInd w:val="0"/>
        <w:spacing w:after="0" w:line="240" w:lineRule="auto"/>
        <w:rPr>
          <w:rFonts w:ascii="Times New Roman" w:hAnsi="Times New Roman" w:cs="Times New Roman"/>
          <w:sz w:val="24"/>
          <w:szCs w:val="24"/>
        </w:rPr>
      </w:pPr>
      <w:r w:rsidRPr="00F33BFD">
        <w:rPr>
          <w:rFonts w:ascii="Times New Roman" w:hAnsi="Times New Roman" w:cs="Times New Roman"/>
          <w:bCs/>
          <w:sz w:val="24"/>
          <w:szCs w:val="24"/>
        </w:rPr>
        <w:t>Strength of recommendation</w:t>
      </w:r>
      <w:r w:rsidR="00F33BFD">
        <w:rPr>
          <w:rFonts w:ascii="Times New Roman" w:hAnsi="Times New Roman" w:cs="Times New Roman"/>
          <w:bCs/>
          <w:sz w:val="24"/>
          <w:szCs w:val="24"/>
        </w:rPr>
        <w:t>:</w:t>
      </w:r>
      <w:r w:rsidRPr="00F33BFD">
        <w:rPr>
          <w:rFonts w:ascii="Times New Roman" w:hAnsi="Times New Roman" w:cs="Times New Roman"/>
          <w:bCs/>
          <w:sz w:val="24"/>
          <w:szCs w:val="24"/>
        </w:rPr>
        <w:t xml:space="preserve"> </w:t>
      </w:r>
      <w:r w:rsidRPr="00F33BFD">
        <w:rPr>
          <w:rFonts w:ascii="Times New Roman" w:hAnsi="Times New Roman" w:cs="Times New Roman"/>
          <w:sz w:val="24"/>
          <w:szCs w:val="24"/>
        </w:rPr>
        <w:t>Conditional</w:t>
      </w:r>
    </w:p>
    <w:p w:rsidR="00FF0937" w:rsidRPr="00DE09B4" w:rsidRDefault="00FF0937" w:rsidP="00FF0937">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The household use of kerosene is discouraged while further research into its health impacts is conducted. (pg.53)</w:t>
      </w:r>
    </w:p>
    <w:p w:rsidR="0050343A" w:rsidRPr="00E86340" w:rsidRDefault="0050343A" w:rsidP="0050343A">
      <w:pPr>
        <w:autoSpaceDE w:val="0"/>
        <w:autoSpaceDN w:val="0"/>
        <w:adjustRightInd w:val="0"/>
        <w:spacing w:after="0" w:line="240" w:lineRule="auto"/>
        <w:rPr>
          <w:rFonts w:ascii="Times New Roman" w:hAnsi="Times New Roman" w:cs="Times New Roman"/>
          <w:bCs/>
          <w:sz w:val="24"/>
          <w:szCs w:val="24"/>
        </w:rPr>
      </w:pPr>
      <w:r w:rsidRPr="00E86340">
        <w:rPr>
          <w:rFonts w:ascii="Times New Roman" w:hAnsi="Times New Roman" w:cs="Times New Roman"/>
          <w:bCs/>
          <w:sz w:val="24"/>
          <w:szCs w:val="24"/>
        </w:rPr>
        <w:t>Remarks:</w:t>
      </w:r>
    </w:p>
    <w:p w:rsidR="0050343A" w:rsidRPr="00DE09B4" w:rsidRDefault="0050343A" w:rsidP="0050343A">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 xml:space="preserve">a) Existing evidence shows that household use of kerosene can lead to PM levels that exceed WHO guidelines, substantially so in developing country homes using simple unvented </w:t>
      </w:r>
      <w:r w:rsidRPr="00DE09B4">
        <w:rPr>
          <w:rFonts w:ascii="Times New Roman" w:hAnsi="Times New Roman" w:cs="Times New Roman"/>
          <w:sz w:val="24"/>
          <w:szCs w:val="24"/>
        </w:rPr>
        <w:lastRenderedPageBreak/>
        <w:t xml:space="preserve">combustion technologies (e.g. wick </w:t>
      </w:r>
      <w:proofErr w:type="spellStart"/>
      <w:r w:rsidRPr="00DE09B4">
        <w:rPr>
          <w:rFonts w:ascii="Times New Roman" w:hAnsi="Times New Roman" w:cs="Times New Roman"/>
          <w:sz w:val="24"/>
          <w:szCs w:val="24"/>
        </w:rPr>
        <w:t>cookstoves</w:t>
      </w:r>
      <w:proofErr w:type="spellEnd"/>
      <w:r w:rsidRPr="00DE09B4">
        <w:rPr>
          <w:rFonts w:ascii="Times New Roman" w:hAnsi="Times New Roman" w:cs="Times New Roman"/>
          <w:sz w:val="24"/>
          <w:szCs w:val="24"/>
        </w:rPr>
        <w:t xml:space="preserve"> and lamps). Levels of CO, NO2, </w:t>
      </w:r>
      <w:proofErr w:type="spellStart"/>
      <w:r w:rsidRPr="00DE09B4">
        <w:rPr>
          <w:rFonts w:ascii="Times New Roman" w:hAnsi="Times New Roman" w:cs="Times New Roman"/>
          <w:sz w:val="24"/>
          <w:szCs w:val="24"/>
        </w:rPr>
        <w:t>polyaromatic</w:t>
      </w:r>
      <w:proofErr w:type="spellEnd"/>
      <w:r w:rsidRPr="00DE09B4">
        <w:rPr>
          <w:rFonts w:ascii="Times New Roman" w:hAnsi="Times New Roman" w:cs="Times New Roman"/>
          <w:sz w:val="24"/>
          <w:szCs w:val="24"/>
        </w:rPr>
        <w:t xml:space="preserve"> hydrocarbon (PAH), and SO2 may also exceed guideline levels provided in </w:t>
      </w:r>
      <w:r w:rsidRPr="00DE09B4">
        <w:rPr>
          <w:rFonts w:ascii="Times New Roman" w:hAnsi="Times New Roman" w:cs="Times New Roman"/>
          <w:i/>
          <w:iCs/>
          <w:sz w:val="24"/>
          <w:szCs w:val="24"/>
        </w:rPr>
        <w:t>Air quality guidelines - global update</w:t>
      </w:r>
    </w:p>
    <w:p w:rsidR="0050343A" w:rsidRPr="00DE09B4" w:rsidRDefault="0050343A" w:rsidP="0050343A">
      <w:pPr>
        <w:autoSpaceDE w:val="0"/>
        <w:autoSpaceDN w:val="0"/>
        <w:adjustRightInd w:val="0"/>
        <w:spacing w:after="0" w:line="240" w:lineRule="auto"/>
        <w:rPr>
          <w:rFonts w:ascii="Times New Roman" w:hAnsi="Times New Roman" w:cs="Times New Roman"/>
          <w:i/>
          <w:iCs/>
          <w:sz w:val="24"/>
          <w:szCs w:val="24"/>
        </w:rPr>
      </w:pPr>
      <w:r w:rsidRPr="00DE09B4">
        <w:rPr>
          <w:rFonts w:ascii="Times New Roman" w:hAnsi="Times New Roman" w:cs="Times New Roman"/>
          <w:i/>
          <w:iCs/>
          <w:sz w:val="24"/>
          <w:szCs w:val="24"/>
        </w:rPr>
        <w:t xml:space="preserve">2005 </w:t>
      </w:r>
      <w:r w:rsidRPr="00DE09B4">
        <w:rPr>
          <w:rFonts w:ascii="Times New Roman" w:hAnsi="Times New Roman" w:cs="Times New Roman"/>
          <w:sz w:val="24"/>
          <w:szCs w:val="24"/>
        </w:rPr>
        <w:t xml:space="preserve">or </w:t>
      </w:r>
      <w:r w:rsidRPr="00DE09B4">
        <w:rPr>
          <w:rFonts w:ascii="Times New Roman" w:hAnsi="Times New Roman" w:cs="Times New Roman"/>
          <w:i/>
          <w:iCs/>
          <w:sz w:val="24"/>
          <w:szCs w:val="24"/>
        </w:rPr>
        <w:t>WHO Guidelines for indoor air quality: selected pollutants (13, 14).</w:t>
      </w:r>
    </w:p>
    <w:p w:rsidR="0050343A" w:rsidRPr="00DE09B4" w:rsidRDefault="0050343A" w:rsidP="0050343A">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b) Epidemiological evidence on risks of respiratory and other health outcomes is currently not conclusive.</w:t>
      </w:r>
    </w:p>
    <w:p w:rsidR="0050343A" w:rsidRPr="00DE09B4" w:rsidRDefault="0050343A" w:rsidP="0050343A">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c) The risk of burns, fires and poisoning, associated with the use of kerosene in</w:t>
      </w:r>
    </w:p>
    <w:p w:rsidR="0050343A" w:rsidRPr="00DE09B4" w:rsidRDefault="0050343A" w:rsidP="0050343A">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LMICs is a cause for concern.</w:t>
      </w:r>
    </w:p>
    <w:p w:rsidR="0050343A" w:rsidRDefault="0050343A" w:rsidP="0050343A">
      <w:p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d) For this recommendation, a low quality of evidence was available for disease risks from kerosene combustion emissions, and a moderate quality of evidence for safety risks with kerosene use. (pg.53)</w:t>
      </w:r>
    </w:p>
    <w:p w:rsidR="00F33BFD" w:rsidRDefault="00F33BFD" w:rsidP="0050343A">
      <w:pPr>
        <w:autoSpaceDE w:val="0"/>
        <w:autoSpaceDN w:val="0"/>
        <w:adjustRightInd w:val="0"/>
        <w:spacing w:after="0" w:line="240" w:lineRule="auto"/>
        <w:rPr>
          <w:rFonts w:ascii="Times New Roman" w:hAnsi="Times New Roman" w:cs="Times New Roman"/>
          <w:sz w:val="24"/>
          <w:szCs w:val="24"/>
        </w:rPr>
      </w:pPr>
    </w:p>
    <w:p w:rsidR="00F33BFD" w:rsidRPr="00F33BFD" w:rsidRDefault="00F33BFD" w:rsidP="0050343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Climate change and h</w:t>
      </w:r>
      <w:r w:rsidRPr="00F33BFD">
        <w:rPr>
          <w:rFonts w:ascii="Times New Roman" w:hAnsi="Times New Roman" w:cs="Times New Roman"/>
          <w:b/>
          <w:sz w:val="24"/>
          <w:szCs w:val="24"/>
        </w:rPr>
        <w:t>ealth</w:t>
      </w:r>
    </w:p>
    <w:p w:rsidR="00EA6353" w:rsidRPr="00F33BFD" w:rsidRDefault="00EA6353" w:rsidP="0050343A">
      <w:pPr>
        <w:autoSpaceDE w:val="0"/>
        <w:autoSpaceDN w:val="0"/>
        <w:adjustRightInd w:val="0"/>
        <w:spacing w:after="0" w:line="240" w:lineRule="auto"/>
        <w:rPr>
          <w:rFonts w:ascii="Times New Roman" w:hAnsi="Times New Roman" w:cs="Times New Roman"/>
          <w:b/>
          <w:sz w:val="24"/>
          <w:szCs w:val="24"/>
        </w:rPr>
      </w:pPr>
    </w:p>
    <w:p w:rsidR="00EA6353" w:rsidRPr="00DE09B4" w:rsidRDefault="00EA6353" w:rsidP="00F33BFD">
      <w:pPr>
        <w:pStyle w:val="ListParagraph"/>
        <w:autoSpaceDE w:val="0"/>
        <w:autoSpaceDN w:val="0"/>
        <w:adjustRightInd w:val="0"/>
        <w:spacing w:after="0" w:line="240" w:lineRule="auto"/>
        <w:rPr>
          <w:rFonts w:ascii="Times New Roman" w:hAnsi="Times New Roman" w:cs="Times New Roman"/>
          <w:b/>
          <w:bCs/>
          <w:sz w:val="24"/>
          <w:szCs w:val="24"/>
        </w:rPr>
      </w:pPr>
    </w:p>
    <w:p w:rsidR="00EA6353" w:rsidRDefault="00EA6353" w:rsidP="00F33BF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33BFD">
        <w:rPr>
          <w:rFonts w:ascii="Times New Roman" w:hAnsi="Times New Roman" w:cs="Times New Roman"/>
          <w:sz w:val="24"/>
          <w:szCs w:val="24"/>
        </w:rPr>
        <w:t>While there are opportunities for synergy between climate policies and health, policies will need to be carefully designed to obtain these synergies and avoid unintended adverse effects on climate and/or health. Thus there is a need for research to support the development of co-control policies (Table R.5.1). (pg.57)</w:t>
      </w:r>
    </w:p>
    <w:p w:rsidR="00F33BFD" w:rsidRDefault="00F33BFD" w:rsidP="00F33BFD">
      <w:pPr>
        <w:autoSpaceDE w:val="0"/>
        <w:autoSpaceDN w:val="0"/>
        <w:adjustRightInd w:val="0"/>
        <w:spacing w:after="0" w:line="240" w:lineRule="auto"/>
        <w:rPr>
          <w:rFonts w:ascii="Times New Roman" w:hAnsi="Times New Roman" w:cs="Times New Roman"/>
          <w:sz w:val="24"/>
          <w:szCs w:val="24"/>
        </w:rPr>
      </w:pPr>
    </w:p>
    <w:p w:rsidR="00F33BFD" w:rsidRPr="00F33BFD" w:rsidRDefault="00E86340" w:rsidP="00F33B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Solid fuel stoves important</w:t>
      </w:r>
    </w:p>
    <w:p w:rsidR="00EA6353" w:rsidRPr="00DE09B4" w:rsidRDefault="00EA6353" w:rsidP="00EA6353">
      <w:pPr>
        <w:autoSpaceDE w:val="0"/>
        <w:autoSpaceDN w:val="0"/>
        <w:adjustRightInd w:val="0"/>
        <w:spacing w:after="0" w:line="240" w:lineRule="auto"/>
        <w:rPr>
          <w:rFonts w:ascii="Times New Roman" w:hAnsi="Times New Roman" w:cs="Times New Roman"/>
          <w:sz w:val="24"/>
          <w:szCs w:val="24"/>
        </w:rPr>
      </w:pPr>
    </w:p>
    <w:p w:rsidR="00EA6353" w:rsidRDefault="00EA6353" w:rsidP="00EA635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As recognized in these guidelines, and specifically in Recommendation 2, which addresses policy during transition, improved solid fuel stoves will continue to make an important contribution to the needs of a substantial proportion of lower income and rural homes where primary use of clean fuels is not feasible for some time to come. Work to develop substantially improved solid fuel stoves should continue in parallel with, but not hinder or displace, efforts to encourage transition to clean fuels. The contribution of solid fuel stoves to the mix of devices and fuels promoted will depend on the completeness of combustion that can be achieved when such technologies are in everyday use (as demonstrated through</w:t>
      </w:r>
      <w:r w:rsidR="00FA1F5F" w:rsidRPr="00DE09B4">
        <w:rPr>
          <w:rFonts w:ascii="Times New Roman" w:hAnsi="Times New Roman" w:cs="Times New Roman"/>
          <w:sz w:val="24"/>
          <w:szCs w:val="24"/>
        </w:rPr>
        <w:t xml:space="preserve"> </w:t>
      </w:r>
      <w:r w:rsidRPr="00DE09B4">
        <w:rPr>
          <w:rFonts w:ascii="Times New Roman" w:hAnsi="Times New Roman" w:cs="Times New Roman"/>
          <w:sz w:val="24"/>
          <w:szCs w:val="24"/>
        </w:rPr>
        <w:t>emissions testing), and the consequent reductions in health risks. (pg.62)</w:t>
      </w:r>
    </w:p>
    <w:p w:rsidR="00F33BFD" w:rsidRDefault="00F33BFD" w:rsidP="00F33BFD">
      <w:pPr>
        <w:autoSpaceDE w:val="0"/>
        <w:autoSpaceDN w:val="0"/>
        <w:adjustRightInd w:val="0"/>
        <w:spacing w:after="0" w:line="240" w:lineRule="auto"/>
        <w:rPr>
          <w:rFonts w:ascii="Times New Roman" w:hAnsi="Times New Roman" w:cs="Times New Roman"/>
          <w:sz w:val="24"/>
          <w:szCs w:val="24"/>
        </w:rPr>
      </w:pPr>
    </w:p>
    <w:p w:rsidR="00F33BFD" w:rsidRDefault="00E86340" w:rsidP="00F33BF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Levels of CO and PM higher than expected in clean fuel studies</w:t>
      </w:r>
    </w:p>
    <w:p w:rsidR="00F33BFD" w:rsidRPr="00F33BFD" w:rsidRDefault="00F33BFD" w:rsidP="00F33BFD">
      <w:pPr>
        <w:autoSpaceDE w:val="0"/>
        <w:autoSpaceDN w:val="0"/>
        <w:adjustRightInd w:val="0"/>
        <w:spacing w:after="0" w:line="240" w:lineRule="auto"/>
        <w:rPr>
          <w:rFonts w:ascii="Times New Roman" w:hAnsi="Times New Roman" w:cs="Times New Roman"/>
          <w:b/>
          <w:sz w:val="24"/>
          <w:szCs w:val="24"/>
        </w:rPr>
      </w:pPr>
    </w:p>
    <w:p w:rsidR="00E85472" w:rsidRDefault="00E85472" w:rsidP="00E8547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Even allowing for variability and differing circumstances, it is clear that the measured levels of PM and CO in homes using clean fuels are much higher than predicted. This does not undermine the model, but points towards other explanations. These include continued use of the traditional stove (even in stove/fuel evaluation studies), along with the new one (known as stacking), other emission sources in and around the home (kerosene lamps, waste burning), and external sources such as fuel combustion from other homes and other sources of combustion contributing to outdoor air pollution entering all homes. (pg.123)</w:t>
      </w:r>
    </w:p>
    <w:p w:rsidR="00F33BFD" w:rsidRDefault="00F33BFD" w:rsidP="00F33BFD">
      <w:pPr>
        <w:autoSpaceDE w:val="0"/>
        <w:autoSpaceDN w:val="0"/>
        <w:adjustRightInd w:val="0"/>
        <w:spacing w:after="0" w:line="240" w:lineRule="auto"/>
        <w:rPr>
          <w:rFonts w:ascii="Times New Roman" w:hAnsi="Times New Roman" w:cs="Times New Roman"/>
          <w:sz w:val="24"/>
          <w:szCs w:val="24"/>
        </w:rPr>
      </w:pPr>
    </w:p>
    <w:p w:rsidR="00F33BFD" w:rsidRDefault="00F33BFD" w:rsidP="00F33BFD">
      <w:pPr>
        <w:autoSpaceDE w:val="0"/>
        <w:autoSpaceDN w:val="0"/>
        <w:adjustRightInd w:val="0"/>
        <w:spacing w:after="0" w:line="240" w:lineRule="auto"/>
        <w:rPr>
          <w:rFonts w:ascii="Times New Roman" w:hAnsi="Times New Roman" w:cs="Times New Roman"/>
          <w:sz w:val="24"/>
          <w:szCs w:val="24"/>
        </w:rPr>
      </w:pPr>
    </w:p>
    <w:p w:rsidR="00F33BFD" w:rsidRPr="00F33BFD" w:rsidRDefault="00F33BFD" w:rsidP="00F33BFD">
      <w:pPr>
        <w:autoSpaceDE w:val="0"/>
        <w:autoSpaceDN w:val="0"/>
        <w:adjustRightInd w:val="0"/>
        <w:spacing w:after="0" w:line="240" w:lineRule="auto"/>
        <w:rPr>
          <w:rFonts w:ascii="Times New Roman" w:hAnsi="Times New Roman" w:cs="Times New Roman"/>
          <w:sz w:val="24"/>
          <w:szCs w:val="24"/>
        </w:rPr>
      </w:pPr>
    </w:p>
    <w:p w:rsidR="00F33BFD" w:rsidRPr="00F33BFD" w:rsidRDefault="00F33BFD" w:rsidP="00F33BFD">
      <w:pPr>
        <w:autoSpaceDE w:val="0"/>
        <w:autoSpaceDN w:val="0"/>
        <w:adjustRightInd w:val="0"/>
        <w:spacing w:after="0" w:line="240" w:lineRule="auto"/>
        <w:rPr>
          <w:rFonts w:ascii="Times New Roman" w:hAnsi="Times New Roman" w:cs="Times New Roman"/>
          <w:sz w:val="24"/>
          <w:szCs w:val="24"/>
        </w:rPr>
      </w:pPr>
    </w:p>
    <w:p w:rsidR="00E85472" w:rsidRDefault="00F33BFD" w:rsidP="00F33BFD">
      <w:pPr>
        <w:autoSpaceDE w:val="0"/>
        <w:autoSpaceDN w:val="0"/>
        <w:adjustRightInd w:val="0"/>
        <w:spacing w:after="0" w:line="240" w:lineRule="auto"/>
        <w:rPr>
          <w:rFonts w:ascii="Times New Roman" w:hAnsi="Times New Roman" w:cs="Times New Roman"/>
          <w:b/>
          <w:iCs/>
          <w:sz w:val="24"/>
          <w:szCs w:val="24"/>
        </w:rPr>
      </w:pPr>
      <w:r w:rsidRPr="00F33BFD">
        <w:rPr>
          <w:rFonts w:ascii="Times New Roman" w:hAnsi="Times New Roman" w:cs="Times New Roman"/>
          <w:b/>
          <w:iCs/>
          <w:sz w:val="24"/>
          <w:szCs w:val="24"/>
        </w:rPr>
        <w:t>Model based on 75% of pollution going up the chimney</w:t>
      </w:r>
    </w:p>
    <w:p w:rsidR="00F33BFD" w:rsidRPr="00F33BFD" w:rsidRDefault="00F33BFD" w:rsidP="00F33BFD">
      <w:pPr>
        <w:autoSpaceDE w:val="0"/>
        <w:autoSpaceDN w:val="0"/>
        <w:adjustRightInd w:val="0"/>
        <w:spacing w:after="0" w:line="240" w:lineRule="auto"/>
        <w:rPr>
          <w:rFonts w:ascii="Times New Roman" w:hAnsi="Times New Roman" w:cs="Times New Roman"/>
          <w:b/>
          <w:iCs/>
          <w:sz w:val="24"/>
          <w:szCs w:val="24"/>
        </w:rPr>
      </w:pPr>
    </w:p>
    <w:p w:rsidR="00E85472" w:rsidRDefault="00E85472" w:rsidP="00F33BF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33BFD">
        <w:rPr>
          <w:rFonts w:ascii="Times New Roman" w:hAnsi="Times New Roman" w:cs="Times New Roman"/>
          <w:sz w:val="24"/>
          <w:szCs w:val="24"/>
        </w:rPr>
        <w:t xml:space="preserve">The emissions model allows for ventilation (with a </w:t>
      </w:r>
      <w:proofErr w:type="spellStart"/>
      <w:r w:rsidRPr="00F33BFD">
        <w:rPr>
          <w:rFonts w:ascii="Times New Roman" w:hAnsi="Times New Roman" w:cs="Times New Roman"/>
          <w:sz w:val="24"/>
          <w:szCs w:val="24"/>
        </w:rPr>
        <w:t>flue</w:t>
      </w:r>
      <w:proofErr w:type="spellEnd"/>
      <w:r w:rsidRPr="00F33BFD">
        <w:rPr>
          <w:rFonts w:ascii="Times New Roman" w:hAnsi="Times New Roman" w:cs="Times New Roman"/>
          <w:sz w:val="24"/>
          <w:szCs w:val="24"/>
        </w:rPr>
        <w:t xml:space="preserve"> or chimney) by assuming (based on empirical data from several studies and countries) that the fraction of total emissions entering the room lies between 1% and 50% with a mean of 25% and standard deviation of 10%. On average, therefore, it is expected that emissions entering the room from vented stoves are 75% lower than with unvented stoves. (pg.123)</w:t>
      </w:r>
    </w:p>
    <w:p w:rsidR="00E86340" w:rsidRDefault="00E86340" w:rsidP="00E86340">
      <w:pPr>
        <w:pStyle w:val="ListParagraph"/>
        <w:autoSpaceDE w:val="0"/>
        <w:autoSpaceDN w:val="0"/>
        <w:adjustRightInd w:val="0"/>
        <w:spacing w:after="0" w:line="240" w:lineRule="auto"/>
        <w:rPr>
          <w:rFonts w:ascii="Times New Roman" w:hAnsi="Times New Roman" w:cs="Times New Roman"/>
          <w:sz w:val="24"/>
          <w:szCs w:val="24"/>
        </w:rPr>
      </w:pPr>
    </w:p>
    <w:p w:rsidR="00E86340" w:rsidRPr="00F33BFD" w:rsidRDefault="00E86340" w:rsidP="00E863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Importance of Regional Centers</w:t>
      </w:r>
    </w:p>
    <w:p w:rsidR="00EF168E" w:rsidRPr="00DE09B4" w:rsidRDefault="00EF168E" w:rsidP="00EF168E">
      <w:pPr>
        <w:autoSpaceDE w:val="0"/>
        <w:autoSpaceDN w:val="0"/>
        <w:adjustRightInd w:val="0"/>
        <w:spacing w:after="0" w:line="240" w:lineRule="auto"/>
        <w:rPr>
          <w:rFonts w:ascii="Times New Roman" w:hAnsi="Times New Roman" w:cs="Times New Roman"/>
          <w:sz w:val="24"/>
          <w:szCs w:val="24"/>
        </w:rPr>
      </w:pPr>
    </w:p>
    <w:p w:rsidR="0050343A" w:rsidRPr="00DE09B4" w:rsidRDefault="00EF168E" w:rsidP="00EF168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DE09B4">
        <w:rPr>
          <w:rFonts w:ascii="Times New Roman" w:hAnsi="Times New Roman" w:cs="Times New Roman"/>
          <w:sz w:val="24"/>
          <w:szCs w:val="24"/>
        </w:rPr>
        <w:t xml:space="preserve">Most testing results to date (see Stove Performance Inventory Report 20121 and Clean Cooking Catalog http://catalog.cleancookstoves.org) have come from laboratories in developed countries. More laboratory and field testing capacity is needed, especially in developing countries where the use of solid fuels for cooking and the resulting household air pollution (HAP) are major concerns. Developing capacity by setting up regional testing and knowledge </w:t>
      </w:r>
      <w:r w:rsidR="00DE09B4" w:rsidRPr="00DE09B4">
        <w:rPr>
          <w:rFonts w:ascii="Times New Roman" w:hAnsi="Times New Roman" w:cs="Times New Roman"/>
          <w:sz w:val="24"/>
          <w:szCs w:val="24"/>
        </w:rPr>
        <w:t>centers</w:t>
      </w:r>
      <w:r w:rsidRPr="00DE09B4">
        <w:rPr>
          <w:rFonts w:ascii="Times New Roman" w:hAnsi="Times New Roman" w:cs="Times New Roman"/>
          <w:sz w:val="24"/>
          <w:szCs w:val="24"/>
        </w:rPr>
        <w:t xml:space="preserve"> (RTKCs) is ongoing through grants and training workshops. The aim is to establish sustainable institutions that can provide high quality testing services and </w:t>
      </w:r>
      <w:r w:rsidR="00DE09B4" w:rsidRPr="00DE09B4">
        <w:rPr>
          <w:rFonts w:ascii="Times New Roman" w:hAnsi="Times New Roman" w:cs="Times New Roman"/>
          <w:sz w:val="24"/>
          <w:szCs w:val="24"/>
        </w:rPr>
        <w:t>catalyze</w:t>
      </w:r>
      <w:r w:rsidRPr="00DE09B4">
        <w:rPr>
          <w:rFonts w:ascii="Times New Roman" w:hAnsi="Times New Roman" w:cs="Times New Roman"/>
          <w:sz w:val="24"/>
          <w:szCs w:val="24"/>
        </w:rPr>
        <w:t xml:space="preserve"> regional activities. These </w:t>
      </w:r>
      <w:r w:rsidR="00DE09B4" w:rsidRPr="00DE09B4">
        <w:rPr>
          <w:rFonts w:ascii="Times New Roman" w:hAnsi="Times New Roman" w:cs="Times New Roman"/>
          <w:sz w:val="24"/>
          <w:szCs w:val="24"/>
        </w:rPr>
        <w:t>centers</w:t>
      </w:r>
      <w:r w:rsidRPr="00DE09B4">
        <w:rPr>
          <w:rFonts w:ascii="Times New Roman" w:hAnsi="Times New Roman" w:cs="Times New Roman"/>
          <w:sz w:val="24"/>
          <w:szCs w:val="24"/>
        </w:rPr>
        <w:t xml:space="preserve"> are working together as a consortium to standardiz</w:t>
      </w:r>
      <w:r w:rsidR="00AE03A9" w:rsidRPr="00DE09B4">
        <w:rPr>
          <w:rFonts w:ascii="Times New Roman" w:hAnsi="Times New Roman" w:cs="Times New Roman"/>
          <w:sz w:val="24"/>
          <w:szCs w:val="24"/>
        </w:rPr>
        <w:t xml:space="preserve">e </w:t>
      </w:r>
      <w:r w:rsidRPr="00DE09B4">
        <w:rPr>
          <w:rFonts w:ascii="Times New Roman" w:hAnsi="Times New Roman" w:cs="Times New Roman"/>
          <w:sz w:val="24"/>
          <w:szCs w:val="24"/>
        </w:rPr>
        <w:t>methods and establish best practices and common data formats to share testing results. (pg.150)</w:t>
      </w:r>
    </w:p>
    <w:sectPr w:rsidR="0050343A" w:rsidRPr="00DE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Pro-SemiboldSemi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A1"/>
    <w:family w:val="roman"/>
    <w:notTrueType/>
    <w:pitch w:val="default"/>
    <w:sig w:usb0="00000083" w:usb1="00000000" w:usb2="00000000" w:usb3="00000000" w:csb0="00000009" w:csb1="00000000"/>
  </w:font>
  <w:font w:name="MinionPro-It">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39FF"/>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62E"/>
    <w:multiLevelType w:val="hybridMultilevel"/>
    <w:tmpl w:val="9D4281BA"/>
    <w:lvl w:ilvl="0" w:tplc="CEFE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F2BA6"/>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D69E9"/>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E5ACE"/>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A34BE"/>
    <w:multiLevelType w:val="hybridMultilevel"/>
    <w:tmpl w:val="A7CA891A"/>
    <w:lvl w:ilvl="0" w:tplc="3A1E1292">
      <w:start w:val="1"/>
      <w:numFmt w:val="decimal"/>
      <w:lvlText w:val="%1.)"/>
      <w:lvlJc w:val="left"/>
      <w:pPr>
        <w:ind w:left="720" w:hanging="360"/>
      </w:pPr>
      <w:rPr>
        <w:rFonts w:ascii="MyriadPro-SemiboldSemiCn" w:hAnsi="MyriadPro-SemiboldSemiCn" w:cs="MyriadPro-SemiboldSemiC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A77CE"/>
    <w:multiLevelType w:val="hybridMultilevel"/>
    <w:tmpl w:val="9D4281BA"/>
    <w:lvl w:ilvl="0" w:tplc="CEFE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520A6"/>
    <w:multiLevelType w:val="hybridMultilevel"/>
    <w:tmpl w:val="9D4281BA"/>
    <w:lvl w:ilvl="0" w:tplc="CEFE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07E56"/>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D5577"/>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7031A"/>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D8431D"/>
    <w:multiLevelType w:val="hybridMultilevel"/>
    <w:tmpl w:val="0324F9CC"/>
    <w:lvl w:ilvl="0" w:tplc="CEFE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312E9"/>
    <w:multiLevelType w:val="hybridMultilevel"/>
    <w:tmpl w:val="9D4281BA"/>
    <w:lvl w:ilvl="0" w:tplc="CEFE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D1E30"/>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2701F"/>
    <w:multiLevelType w:val="hybridMultilevel"/>
    <w:tmpl w:val="9D4281BA"/>
    <w:lvl w:ilvl="0" w:tplc="CEFE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274E96"/>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AA48D1"/>
    <w:multiLevelType w:val="hybridMultilevel"/>
    <w:tmpl w:val="B58E8734"/>
    <w:lvl w:ilvl="0" w:tplc="CEFE7FC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D26C5"/>
    <w:multiLevelType w:val="hybridMultilevel"/>
    <w:tmpl w:val="9D4281BA"/>
    <w:lvl w:ilvl="0" w:tplc="CEFE7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4"/>
  </w:num>
  <w:num w:numId="5">
    <w:abstractNumId w:val="6"/>
  </w:num>
  <w:num w:numId="6">
    <w:abstractNumId w:val="7"/>
  </w:num>
  <w:num w:numId="7">
    <w:abstractNumId w:val="12"/>
  </w:num>
  <w:num w:numId="8">
    <w:abstractNumId w:val="9"/>
  </w:num>
  <w:num w:numId="9">
    <w:abstractNumId w:val="8"/>
  </w:num>
  <w:num w:numId="10">
    <w:abstractNumId w:val="4"/>
  </w:num>
  <w:num w:numId="11">
    <w:abstractNumId w:val="15"/>
  </w:num>
  <w:num w:numId="12">
    <w:abstractNumId w:val="13"/>
  </w:num>
  <w:num w:numId="13">
    <w:abstractNumId w:val="10"/>
  </w:num>
  <w:num w:numId="14">
    <w:abstractNumId w:val="16"/>
  </w:num>
  <w:num w:numId="15">
    <w:abstractNumId w:val="0"/>
  </w:num>
  <w:num w:numId="16">
    <w:abstractNumId w:val="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0B"/>
    <w:rsid w:val="001C6906"/>
    <w:rsid w:val="002C1B0D"/>
    <w:rsid w:val="00343A39"/>
    <w:rsid w:val="0039641D"/>
    <w:rsid w:val="004C4334"/>
    <w:rsid w:val="0050343A"/>
    <w:rsid w:val="00576870"/>
    <w:rsid w:val="009B3B6E"/>
    <w:rsid w:val="009B78C3"/>
    <w:rsid w:val="00AC3B33"/>
    <w:rsid w:val="00AE03A9"/>
    <w:rsid w:val="00B35EC1"/>
    <w:rsid w:val="00BA0950"/>
    <w:rsid w:val="00DE09B4"/>
    <w:rsid w:val="00DF320B"/>
    <w:rsid w:val="00E14169"/>
    <w:rsid w:val="00E85472"/>
    <w:rsid w:val="00E86340"/>
    <w:rsid w:val="00EA6353"/>
    <w:rsid w:val="00ED7523"/>
    <w:rsid w:val="00EF168E"/>
    <w:rsid w:val="00EF48F6"/>
    <w:rsid w:val="00F24EA7"/>
    <w:rsid w:val="00F33BFD"/>
    <w:rsid w:val="00FA1F5F"/>
    <w:rsid w:val="00FE5B5C"/>
    <w:rsid w:val="00FF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6CBAE-FC78-4E3B-B22F-F4A8D7A5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still</dc:creator>
  <cp:keywords/>
  <dc:description/>
  <cp:lastModifiedBy>dean still</cp:lastModifiedBy>
  <cp:revision>2</cp:revision>
  <dcterms:created xsi:type="dcterms:W3CDTF">2014-12-03T00:07:00Z</dcterms:created>
  <dcterms:modified xsi:type="dcterms:W3CDTF">2014-12-03T00:07:00Z</dcterms:modified>
</cp:coreProperties>
</file>